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《杨凌示范区2024年重点建设项目暨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政府投资基本建设项目计划》政策解读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黑体"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一、编制背景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黑体" w:cs="Times New Roman"/>
          <w:color w:val="000000"/>
          <w:kern w:val="0"/>
          <w:sz w:val="32"/>
          <w:szCs w:val="32"/>
          <w:lang w:val="en-US" w:eastAsia="zh-CN"/>
        </w:rPr>
      </w:pPr>
      <w:r>
        <w:rPr>
          <w:rFonts w:hint="eastAsia" w:ascii="BatangChe" w:hAnsi="BatangChe" w:eastAsia="仿宋_GB2312" w:cs="Times New Roman"/>
          <w:bCs/>
          <w:kern w:val="2"/>
          <w:sz w:val="32"/>
          <w:szCs w:val="32"/>
          <w:lang w:val="en-US" w:eastAsia="zh-CN" w:bidi="ar-SA"/>
        </w:rPr>
        <w:t>全面贯彻落实党的二十大精神和习近平总书记历次来陕考察重要讲话重要指示精神，认真落实中央、省委经济工作会议和省“两会”部署要求，紧盯“三区三高地一基地”建设目标，深化拓展“三个年”活动，坚持稳中求进工作总基调，科学系统安排年度重点建设项目计划，以高质量项目接续建设增强创新和经济活力、改善社会预期、增进民生福祉、防范化解风险，努力实现质的有效提升和量的合理增长，推动示范区经济社会高质量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eastAsia" w:ascii="BatangChe" w:hAnsi="BatangChe" w:eastAsia="仿宋_GB2312" w:cs="Times New Roman"/>
          <w:color w:val="auto"/>
          <w:sz w:val="32"/>
          <w:szCs w:val="32"/>
          <w:lang w:val="en-US" w:eastAsia="zh-CN"/>
        </w:rPr>
      </w:pPr>
      <w:r>
        <w:rPr>
          <w:rFonts w:hint="eastAsia" w:ascii="楷体" w:hAnsi="楷体" w:eastAsia="楷体" w:cs="楷体"/>
          <w:b/>
          <w:bCs/>
          <w:color w:val="auto"/>
          <w:sz w:val="32"/>
          <w:szCs w:val="32"/>
          <w:lang w:val="en-US" w:eastAsia="zh-CN"/>
        </w:rPr>
        <w:t>一是聚焦履行国家使命。</w:t>
      </w:r>
      <w:r>
        <w:rPr>
          <w:rFonts w:hint="eastAsia" w:ascii="BatangChe" w:hAnsi="BatangChe" w:eastAsia="仿宋_GB2312" w:cs="Times New Roman"/>
          <w:color w:val="auto"/>
          <w:sz w:val="32"/>
          <w:szCs w:val="32"/>
          <w:lang w:val="en-US" w:eastAsia="zh-CN"/>
        </w:rPr>
        <w:t>紧扣示范区在更高层次上履行国家使命、强化创新引领的重点方向，持续围绕秦创原农业创新驱动平台、旱区种业硅谷、上合农业基地、自贸片区、区校融合、现代农业和特色产业、农科新城规划落地等重点方面提出一批重点建设项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eastAsia" w:ascii="BatangChe" w:hAnsi="BatangChe" w:eastAsia="仿宋_GB2312" w:cs="Times New Roman"/>
          <w:color w:val="auto"/>
          <w:sz w:val="32"/>
          <w:szCs w:val="32"/>
          <w:lang w:val="en-US" w:eastAsia="zh-CN"/>
        </w:rPr>
      </w:pPr>
      <w:r>
        <w:rPr>
          <w:rFonts w:hint="eastAsia" w:ascii="楷体" w:hAnsi="楷体" w:eastAsia="楷体" w:cs="楷体"/>
          <w:b/>
          <w:bCs/>
          <w:color w:val="auto"/>
          <w:sz w:val="32"/>
          <w:szCs w:val="32"/>
          <w:lang w:val="en-US" w:eastAsia="zh-CN"/>
        </w:rPr>
        <w:t>二是聚焦持续改善民生。</w:t>
      </w:r>
      <w:r>
        <w:rPr>
          <w:rFonts w:hint="eastAsia" w:ascii="BatangChe" w:hAnsi="BatangChe" w:eastAsia="仿宋_GB2312" w:cs="Times New Roman"/>
          <w:color w:val="auto"/>
          <w:sz w:val="32"/>
          <w:szCs w:val="32"/>
          <w:lang w:val="en-US" w:eastAsia="zh-CN"/>
        </w:rPr>
        <w:t>坚持尽力而为、量力而行，围绕群众急难愁盼，提出一些迫在眉睫，确需建设的教育、医疗、基础设施等涉及群众切身利益，统筹发展保障安全的社会民生项目，以主题教育成效持续增进民生福祉。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eastAsia" w:ascii="仿宋_GB2312" w:hAnsi="BatangChe" w:eastAsia="仿宋_GB2312"/>
          <w:color w:val="auto"/>
          <w:kern w:val="2"/>
          <w:sz w:val="32"/>
          <w:szCs w:val="32"/>
          <w:lang w:eastAsia="zh-CN"/>
        </w:rPr>
      </w:pPr>
      <w:r>
        <w:rPr>
          <w:rFonts w:hint="eastAsia" w:ascii="楷体" w:hAnsi="楷体" w:eastAsia="楷体" w:cs="楷体"/>
          <w:b/>
          <w:bCs/>
          <w:color w:val="auto"/>
          <w:sz w:val="32"/>
          <w:szCs w:val="32"/>
          <w:lang w:val="en-US" w:eastAsia="zh-CN"/>
        </w:rPr>
        <w:t>三是聚焦稳投资防风险。</w:t>
      </w:r>
      <w:r>
        <w:rPr>
          <w:rFonts w:hint="eastAsia" w:ascii="BatangChe" w:hAnsi="BatangChe" w:eastAsia="仿宋_GB2312" w:cs="Times New Roman"/>
          <w:color w:val="auto"/>
          <w:sz w:val="32"/>
          <w:szCs w:val="32"/>
          <w:lang w:val="en-US" w:eastAsia="zh-CN"/>
        </w:rPr>
        <w:t>深入贯彻落实中央、省委经济工作会议和省“两会”部署要求，对标落实我省地方债务风险化解工作要求，按照坚持过“紧日子”，不能超越财力盲目铺摊子，不形成新的政府欠债基本原则，按照“建设项目、储备项目”分类提出政府投资项目计划，着力防范和化解政府债务风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CESI宋体-GB2312" w:hAnsi="CESI宋体-GB2312" w:eastAsia="仿宋_GB2312" w:cs="CESI宋体-GB2312"/>
          <w:color w:val="auto"/>
          <w:kern w:val="0"/>
          <w:sz w:val="28"/>
          <w:szCs w:val="28"/>
          <w:lang w:val="en-US" w:eastAsia="zh-CN" w:bidi="ar-SA"/>
        </w:rPr>
      </w:pPr>
      <w:r>
        <w:rPr>
          <w:rFonts w:hint="eastAsia" w:ascii="楷体" w:hAnsi="楷体" w:eastAsia="楷体" w:cs="楷体"/>
          <w:b/>
          <w:bCs/>
          <w:color w:val="auto"/>
          <w:sz w:val="32"/>
          <w:szCs w:val="32"/>
          <w:lang w:val="en-US" w:eastAsia="zh-CN"/>
        </w:rPr>
        <w:t>四是聚焦项目全生命周期管理。</w:t>
      </w:r>
      <w:r>
        <w:rPr>
          <w:rFonts w:hint="eastAsia" w:ascii="BatangChe" w:hAnsi="BatangChe" w:eastAsia="仿宋_GB2312" w:cs="Times New Roman"/>
          <w:color w:val="auto"/>
          <w:sz w:val="32"/>
          <w:szCs w:val="32"/>
          <w:lang w:val="en-US" w:eastAsia="zh-CN"/>
        </w:rPr>
        <w:t>以“四个一批”为抓手，实现重点项目全生命周期“入库管理”，力促重点项目滚动循环、梯次推进，接替有序、持续建设。充分发挥“计划”引导督促作用，以计划倒逼项目谋划、项目招引、项目储备、项目开工、项目达产达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BatangChe" w:hAnsi="BatangChe" w:eastAsia="黑体"/>
          <w:sz w:val="32"/>
          <w:szCs w:val="32"/>
        </w:rPr>
      </w:pPr>
      <w:r>
        <w:rPr>
          <w:rFonts w:hint="eastAsia" w:ascii="BatangChe" w:hAnsi="BatangChe" w:eastAsia="黑体"/>
          <w:sz w:val="32"/>
          <w:szCs w:val="32"/>
          <w:lang w:val="en-US" w:eastAsia="zh-CN"/>
        </w:rPr>
        <w:t>三、</w:t>
      </w:r>
      <w:r>
        <w:rPr>
          <w:rFonts w:hint="eastAsia" w:ascii="BatangChe" w:hAnsi="BatangChe" w:eastAsia="黑体"/>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jc w:val="left"/>
        <w:textAlignment w:val="auto"/>
        <w:rPr>
          <w:rFonts w:hint="eastAsia" w:ascii="BatangChe" w:hAnsi="BatangChe" w:eastAsia="仿宋_GB2312"/>
          <w:color w:val="auto"/>
          <w:sz w:val="32"/>
          <w:szCs w:val="32"/>
        </w:rPr>
      </w:pPr>
      <w:r>
        <w:rPr>
          <w:rFonts w:hint="eastAsia" w:ascii="BatangChe" w:hAnsi="BatangChe" w:eastAsia="楷体_GB2312"/>
          <w:b/>
          <w:bCs/>
          <w:sz w:val="32"/>
          <w:szCs w:val="32"/>
        </w:rPr>
        <w:t>（一）示范区202</w:t>
      </w:r>
      <w:r>
        <w:rPr>
          <w:rFonts w:hint="eastAsia" w:ascii="BatangChe" w:hAnsi="BatangChe" w:eastAsia="楷体_GB2312"/>
          <w:b/>
          <w:bCs/>
          <w:sz w:val="32"/>
          <w:szCs w:val="32"/>
          <w:lang w:val="en-US" w:eastAsia="zh-CN"/>
        </w:rPr>
        <w:t>4</w:t>
      </w:r>
      <w:r>
        <w:rPr>
          <w:rFonts w:hint="eastAsia" w:ascii="BatangChe" w:hAnsi="BatangChe" w:eastAsia="楷体_GB2312"/>
          <w:b/>
          <w:bCs/>
          <w:sz w:val="32"/>
          <w:szCs w:val="32"/>
        </w:rPr>
        <w:t>年重点建设项目计划。</w:t>
      </w:r>
      <w:r>
        <w:rPr>
          <w:rFonts w:hint="eastAsia" w:ascii="BatangChe" w:hAnsi="BatangChe" w:eastAsia="仿宋_GB2312"/>
          <w:color w:val="auto"/>
          <w:sz w:val="32"/>
          <w:szCs w:val="32"/>
        </w:rPr>
        <w:t>202</w:t>
      </w:r>
      <w:r>
        <w:rPr>
          <w:rFonts w:hint="eastAsia" w:ascii="BatangChe" w:hAnsi="BatangChe" w:eastAsia="仿宋_GB2312"/>
          <w:color w:val="auto"/>
          <w:sz w:val="32"/>
          <w:szCs w:val="32"/>
          <w:lang w:val="en-US" w:eastAsia="zh-CN"/>
        </w:rPr>
        <w:t>4</w:t>
      </w:r>
      <w:r>
        <w:rPr>
          <w:rFonts w:hint="eastAsia" w:ascii="BatangChe" w:hAnsi="BatangChe" w:eastAsia="仿宋_GB2312"/>
          <w:color w:val="auto"/>
          <w:sz w:val="32"/>
          <w:szCs w:val="32"/>
        </w:rPr>
        <w:t>年，示范区确定重点建设项目114个，总投资387亿元，年度计划投资81.2亿元。按建设性质分：续建项目63个，年度计划投资56.9亿元；新建项目51个，年度计划投资24.3亿元。按项目类别分：</w:t>
      </w:r>
      <w:r>
        <w:rPr>
          <w:rFonts w:hint="eastAsia" w:ascii="BatangChe" w:hAnsi="BatangChe" w:eastAsia="仿宋_GB2312"/>
          <w:b/>
          <w:bCs/>
          <w:color w:val="auto"/>
          <w:sz w:val="32"/>
          <w:szCs w:val="32"/>
        </w:rPr>
        <w:t>创新驱动和秦创原农业板块建设项目</w:t>
      </w:r>
      <w:r>
        <w:rPr>
          <w:rFonts w:hint="eastAsia" w:ascii="BatangChe" w:hAnsi="BatangChe" w:eastAsia="仿宋_GB2312"/>
          <w:color w:val="auto"/>
          <w:sz w:val="32"/>
          <w:szCs w:val="32"/>
        </w:rPr>
        <w:t>12个，年度计划投资21.4亿元；</w:t>
      </w:r>
      <w:r>
        <w:rPr>
          <w:rFonts w:hint="eastAsia" w:ascii="BatangChe" w:hAnsi="BatangChe" w:eastAsia="仿宋_GB2312"/>
          <w:b/>
          <w:bCs/>
          <w:color w:val="auto"/>
          <w:sz w:val="32"/>
          <w:szCs w:val="32"/>
        </w:rPr>
        <w:t>对外开放和上合组织农业基地建设项目</w:t>
      </w:r>
      <w:r>
        <w:rPr>
          <w:rFonts w:hint="eastAsia" w:ascii="BatangChe" w:hAnsi="BatangChe" w:eastAsia="仿宋_GB2312"/>
          <w:color w:val="auto"/>
          <w:sz w:val="32"/>
          <w:szCs w:val="32"/>
        </w:rPr>
        <w:t>8个，年度计划投资2.5亿元；</w:t>
      </w:r>
      <w:r>
        <w:rPr>
          <w:rFonts w:hint="eastAsia" w:ascii="BatangChe" w:hAnsi="BatangChe" w:eastAsia="仿宋_GB2312"/>
          <w:b/>
          <w:bCs/>
          <w:color w:val="auto"/>
          <w:sz w:val="32"/>
          <w:szCs w:val="32"/>
        </w:rPr>
        <w:t>新时代乡村振兴和特色现代农业项目</w:t>
      </w:r>
      <w:r>
        <w:rPr>
          <w:rFonts w:hint="eastAsia" w:ascii="BatangChe" w:hAnsi="BatangChe" w:eastAsia="仿宋_GB2312"/>
          <w:color w:val="auto"/>
          <w:sz w:val="32"/>
          <w:szCs w:val="32"/>
        </w:rPr>
        <w:t>9个，年度计划投资4.3亿元；</w:t>
      </w:r>
      <w:r>
        <w:rPr>
          <w:rFonts w:hint="eastAsia" w:ascii="BatangChe" w:hAnsi="BatangChe" w:eastAsia="仿宋_GB2312"/>
          <w:b/>
          <w:bCs/>
          <w:color w:val="auto"/>
          <w:sz w:val="32"/>
          <w:szCs w:val="32"/>
        </w:rPr>
        <w:t>特色产业发展项目</w:t>
      </w:r>
      <w:r>
        <w:rPr>
          <w:rFonts w:hint="eastAsia" w:ascii="BatangChe" w:hAnsi="BatangChe" w:eastAsia="仿宋_GB2312"/>
          <w:color w:val="auto"/>
          <w:sz w:val="32"/>
          <w:szCs w:val="32"/>
        </w:rPr>
        <w:t>30个，年度计划投资10.8亿元；</w:t>
      </w:r>
      <w:r>
        <w:rPr>
          <w:rFonts w:hint="eastAsia" w:ascii="BatangChe" w:hAnsi="BatangChe" w:eastAsia="仿宋_GB2312"/>
          <w:b/>
          <w:bCs/>
          <w:color w:val="auto"/>
          <w:sz w:val="32"/>
          <w:szCs w:val="32"/>
        </w:rPr>
        <w:t>社会民生项目</w:t>
      </w:r>
      <w:r>
        <w:rPr>
          <w:rFonts w:hint="eastAsia" w:ascii="BatangChe" w:hAnsi="BatangChe" w:eastAsia="仿宋_GB2312"/>
          <w:color w:val="auto"/>
          <w:sz w:val="32"/>
          <w:szCs w:val="32"/>
        </w:rPr>
        <w:t>22个，年度计划投资15.7亿元；</w:t>
      </w:r>
      <w:r>
        <w:rPr>
          <w:rFonts w:hint="eastAsia" w:ascii="BatangChe" w:hAnsi="BatangChe" w:eastAsia="仿宋_GB2312"/>
          <w:b/>
          <w:bCs/>
          <w:color w:val="auto"/>
          <w:sz w:val="32"/>
          <w:szCs w:val="32"/>
        </w:rPr>
        <w:t>基础设施项目</w:t>
      </w:r>
      <w:r>
        <w:rPr>
          <w:rFonts w:hint="eastAsia" w:ascii="BatangChe" w:hAnsi="BatangChe" w:eastAsia="仿宋_GB2312"/>
          <w:color w:val="auto"/>
          <w:sz w:val="32"/>
          <w:szCs w:val="32"/>
        </w:rPr>
        <w:t>16个，年度计划投资5.3亿元；</w:t>
      </w:r>
      <w:r>
        <w:rPr>
          <w:rFonts w:hint="eastAsia" w:ascii="BatangChe" w:hAnsi="BatangChe" w:eastAsia="仿宋_GB2312"/>
          <w:b/>
          <w:bCs/>
          <w:color w:val="auto"/>
          <w:sz w:val="32"/>
          <w:szCs w:val="32"/>
        </w:rPr>
        <w:t>房地产项目</w:t>
      </w:r>
      <w:r>
        <w:rPr>
          <w:rFonts w:hint="eastAsia" w:ascii="BatangChe" w:hAnsi="BatangChe" w:eastAsia="仿宋_GB2312"/>
          <w:color w:val="auto"/>
          <w:sz w:val="32"/>
          <w:szCs w:val="32"/>
        </w:rPr>
        <w:t>17个，年度计划投资21.2亿元。</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CESI宋体-GB2312" w:hAnsi="CESI宋体-GB2312" w:eastAsia="仿宋_GB2312" w:cs="CESI宋体-GB2312"/>
          <w:color w:val="auto"/>
          <w:kern w:val="0"/>
          <w:sz w:val="32"/>
          <w:szCs w:val="32"/>
          <w:lang w:val="en-US" w:eastAsia="zh-CN"/>
        </w:rPr>
      </w:pPr>
      <w:r>
        <w:rPr>
          <w:rFonts w:hint="eastAsia" w:ascii="BatangChe" w:hAnsi="BatangChe" w:eastAsia="楷体_GB2312"/>
          <w:b/>
          <w:bCs/>
          <w:sz w:val="32"/>
          <w:szCs w:val="32"/>
        </w:rPr>
        <w:t>（二）示范区202</w:t>
      </w:r>
      <w:r>
        <w:rPr>
          <w:rFonts w:hint="eastAsia" w:ascii="BatangChe" w:hAnsi="BatangChe" w:eastAsia="楷体_GB2312"/>
          <w:b/>
          <w:bCs/>
          <w:sz w:val="32"/>
          <w:szCs w:val="32"/>
          <w:lang w:val="en-US" w:eastAsia="zh-CN"/>
        </w:rPr>
        <w:t>4</w:t>
      </w:r>
      <w:r>
        <w:rPr>
          <w:rFonts w:hint="eastAsia" w:ascii="BatangChe" w:hAnsi="BatangChe" w:eastAsia="楷体_GB2312"/>
          <w:b/>
          <w:bCs/>
          <w:sz w:val="32"/>
          <w:szCs w:val="32"/>
        </w:rPr>
        <w:t>年政府投资基本建设项目计划。</w:t>
      </w:r>
      <w:r>
        <w:rPr>
          <w:rFonts w:hint="eastAsia" w:ascii="BatangChe" w:hAnsi="BatangChe" w:eastAsia="仿宋_GB2312"/>
          <w:color w:val="auto"/>
          <w:sz w:val="32"/>
          <w:szCs w:val="32"/>
        </w:rPr>
        <w:t>202</w:t>
      </w:r>
      <w:r>
        <w:rPr>
          <w:rFonts w:hint="eastAsia" w:ascii="BatangChe" w:hAnsi="BatangChe" w:eastAsia="仿宋_GB2312"/>
          <w:color w:val="auto"/>
          <w:sz w:val="32"/>
          <w:szCs w:val="32"/>
          <w:lang w:val="en-US" w:eastAsia="zh-CN"/>
        </w:rPr>
        <w:t>4</w:t>
      </w:r>
      <w:r>
        <w:rPr>
          <w:rFonts w:hint="eastAsia" w:ascii="BatangChe" w:hAnsi="BatangChe" w:eastAsia="仿宋_GB2312"/>
          <w:color w:val="auto"/>
          <w:sz w:val="32"/>
          <w:szCs w:val="32"/>
        </w:rPr>
        <w:t>年，示范区确定政府投资基本建设项目共22个，总投资32亿元，年度计划投资10.9亿元。按建设性质分：续建项目11个，年度计划投资8.25亿元；新建项目11个，年度计划投资2.64亿元。按项目类别分：</w:t>
      </w:r>
      <w:r>
        <w:rPr>
          <w:rFonts w:hint="eastAsia" w:ascii="BatangChe" w:hAnsi="BatangChe" w:eastAsia="仿宋_GB2312"/>
          <w:b/>
          <w:bCs/>
          <w:color w:val="auto"/>
          <w:sz w:val="32"/>
          <w:szCs w:val="32"/>
        </w:rPr>
        <w:t>社会民生项目</w:t>
      </w:r>
      <w:r>
        <w:rPr>
          <w:rFonts w:hint="eastAsia" w:ascii="BatangChe" w:hAnsi="BatangChe" w:eastAsia="仿宋_GB2312"/>
          <w:color w:val="auto"/>
          <w:sz w:val="32"/>
          <w:szCs w:val="32"/>
        </w:rPr>
        <w:t>9个，年度计划投资9.6亿元；</w:t>
      </w:r>
      <w:r>
        <w:rPr>
          <w:rFonts w:hint="eastAsia" w:ascii="BatangChe" w:hAnsi="BatangChe" w:eastAsia="仿宋_GB2312"/>
          <w:b/>
          <w:bCs/>
          <w:color w:val="auto"/>
          <w:sz w:val="32"/>
          <w:szCs w:val="32"/>
        </w:rPr>
        <w:t>基础设施项目</w:t>
      </w:r>
      <w:r>
        <w:rPr>
          <w:rFonts w:hint="eastAsia" w:ascii="BatangChe" w:hAnsi="BatangChe" w:eastAsia="仿宋_GB2312"/>
          <w:color w:val="auto"/>
          <w:sz w:val="32"/>
          <w:szCs w:val="32"/>
        </w:rPr>
        <w:t>13个，年度计划投资1.29亿元。在此基础上，结合示范区实际，列入政府投资重点储备项目14个，计划总投资19.5亿元。</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BatangChe">
    <w:altName w:val="方正书宋_GBK"/>
    <w:panose1 w:val="02030609000101010101"/>
    <w:charset w:val="81"/>
    <w:family w:val="modern"/>
    <w:pitch w:val="default"/>
    <w:sig w:usb0="00000000" w:usb1="00000000"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DcyYmI0ZmY0Nzk0MTY4NjEyOWNhNDYxMzc4ZmMifQ=="/>
  </w:docVars>
  <w:rsids>
    <w:rsidRoot w:val="5CAA6E33"/>
    <w:rsid w:val="02F56D74"/>
    <w:rsid w:val="2A086006"/>
    <w:rsid w:val="3AF410E4"/>
    <w:rsid w:val="3C011D0B"/>
    <w:rsid w:val="3EFAED52"/>
    <w:rsid w:val="41AA2E44"/>
    <w:rsid w:val="51736DAF"/>
    <w:rsid w:val="55050666"/>
    <w:rsid w:val="5CAA6E33"/>
    <w:rsid w:val="601856F1"/>
    <w:rsid w:val="63273E9D"/>
    <w:rsid w:val="697B45FB"/>
    <w:rsid w:val="6A94006A"/>
    <w:rsid w:val="6BA3D1DA"/>
    <w:rsid w:val="7DF56D84"/>
    <w:rsid w:val="9FEF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szCs w:val="21"/>
    </w:rPr>
  </w:style>
  <w:style w:type="paragraph" w:styleId="3">
    <w:name w:val="index 9"/>
    <w:basedOn w:val="1"/>
    <w:next w:val="1"/>
    <w:qFormat/>
    <w:uiPriority w:val="99"/>
    <w:pPr>
      <w:ind w:left="3360"/>
    </w:pPr>
    <w:rPr>
      <w:rFonts w:cs="等线"/>
      <w:szCs w:val="21"/>
    </w:rPr>
  </w:style>
  <w:style w:type="paragraph" w:styleId="4">
    <w:name w:val="Body Text"/>
    <w:basedOn w:val="1"/>
    <w:next w:val="1"/>
    <w:qFormat/>
    <w:uiPriority w:val="0"/>
    <w:rPr>
      <w:rFonts w:ascii="宋体" w:hAnsi="宋体"/>
      <w:sz w:val="28"/>
    </w:rPr>
  </w:style>
  <w:style w:type="paragraph" w:styleId="5">
    <w:name w:val="Body Text Indent"/>
    <w:basedOn w:val="1"/>
    <w:unhideWhenUsed/>
    <w:qFormat/>
    <w:uiPriority w:val="0"/>
    <w:pPr>
      <w:spacing w:after="120"/>
      <w:ind w:left="420" w:leftChars="200"/>
    </w:pPr>
  </w:style>
  <w:style w:type="paragraph" w:styleId="6">
    <w:name w:val="Body Text First Indent 2"/>
    <w:basedOn w:val="5"/>
    <w:qFormat/>
    <w:uiPriority w:val="0"/>
    <w:pPr>
      <w:ind w:firstLine="480" w:firstLineChars="200"/>
    </w:pPr>
    <w:rPr>
      <w:rFonts w:ascii="Times New Roman"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2023-08-11T16:13:00Z</dcterms:created>
  <dc:creator>奈何</dc:creator>
  <cp:lastModifiedBy>YLAKuser</cp:lastModifiedBy>
  <dcterms:modified xsi:type="dcterms:W3CDTF">2024-03-01T11:15:20Z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C35DD5DE045847D59C91100997E91005_11</vt:lpwstr>
  </property>
</Properties>
</file>