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07C45">
      <w:pPr>
        <w:pStyle w:val="19"/>
        <w:snapToGrid w:val="0"/>
        <w:spacing w:line="360" w:lineRule="auto"/>
        <w:ind w:firstLine="0" w:firstLineChars="0"/>
        <w:rPr>
          <w:rFonts w:ascii="Times New Roman" w:hAnsi="Times New Roman" w:eastAsia="黑体"/>
          <w:sz w:val="44"/>
          <w:szCs w:val="44"/>
        </w:rPr>
      </w:pPr>
    </w:p>
    <w:p w14:paraId="2A66DAC0">
      <w:pPr>
        <w:snapToGrid w:val="0"/>
        <w:jc w:val="center"/>
        <w:rPr>
          <w:rFonts w:ascii="Times New Roman" w:hAnsi="Times New Roman" w:eastAsia="方正小标宋简体"/>
          <w:sz w:val="44"/>
          <w:szCs w:val="44"/>
        </w:rPr>
      </w:pPr>
      <w:bookmarkStart w:id="0" w:name="_GoBack"/>
      <w:r>
        <w:rPr>
          <w:rFonts w:hint="eastAsia" w:ascii="Times New Roman" w:hAnsi="Times New Roman" w:eastAsia="方正小标宋简体"/>
          <w:sz w:val="44"/>
          <w:szCs w:val="44"/>
        </w:rPr>
        <w:t>杨凌示范区机动车停放服务收费管理办法</w:t>
      </w:r>
    </w:p>
    <w:p w14:paraId="2CE5F944">
      <w:pPr>
        <w:pStyle w:val="19"/>
        <w:snapToGrid w:val="0"/>
        <w:ind w:firstLine="0" w:firstLineChars="0"/>
        <w:jc w:val="center"/>
        <w:rPr>
          <w:rFonts w:ascii="Times New Roman" w:hAnsi="Times New Roman" w:eastAsia="方正小标宋简体"/>
        </w:rPr>
      </w:pPr>
      <w:r>
        <w:rPr>
          <w:rFonts w:hint="eastAsia" w:ascii="Times New Roman" w:hAnsi="Times New Roman" w:eastAsia="方正小标宋简体"/>
          <w:sz w:val="44"/>
          <w:szCs w:val="44"/>
        </w:rPr>
        <w:t>（征求意见稿）</w:t>
      </w:r>
    </w:p>
    <w:bookmarkEnd w:id="0"/>
    <w:p w14:paraId="4EF854F5">
      <w:pPr>
        <w:snapToGrid w:val="0"/>
        <w:spacing w:line="360" w:lineRule="auto"/>
        <w:ind w:firstLine="640" w:firstLineChars="200"/>
        <w:rPr>
          <w:rFonts w:ascii="Times New Roman" w:hAnsi="Times New Roman" w:eastAsia="仿宋_GB2312"/>
          <w:sz w:val="32"/>
          <w:szCs w:val="32"/>
        </w:rPr>
      </w:pPr>
    </w:p>
    <w:p w14:paraId="7682859F">
      <w:pPr>
        <w:snapToGrid w:val="0"/>
        <w:spacing w:line="360" w:lineRule="auto"/>
        <w:jc w:val="center"/>
        <w:rPr>
          <w:rFonts w:ascii="Times New Roman" w:hAnsi="Times New Roman" w:eastAsia="黑体" w:cs="黑体"/>
          <w:sz w:val="32"/>
          <w:szCs w:val="32"/>
        </w:rPr>
      </w:pPr>
      <w:r>
        <w:rPr>
          <w:rFonts w:hint="eastAsia" w:ascii="Times New Roman" w:hAnsi="Times New Roman" w:eastAsia="黑体" w:cs="黑体"/>
          <w:sz w:val="32"/>
          <w:szCs w:val="32"/>
        </w:rPr>
        <w:t>第一章</w:t>
      </w:r>
      <w:r>
        <w:rPr>
          <w:rFonts w:ascii="Times New Roman" w:hAnsi="Times New Roman" w:eastAsia="黑体" w:cs="黑体"/>
          <w:sz w:val="32"/>
          <w:szCs w:val="32"/>
        </w:rPr>
        <w:t xml:space="preserve">  </w:t>
      </w:r>
      <w:r>
        <w:rPr>
          <w:rFonts w:hint="eastAsia" w:ascii="Times New Roman" w:hAnsi="Times New Roman" w:eastAsia="黑体" w:cs="黑体"/>
          <w:sz w:val="32"/>
          <w:szCs w:val="32"/>
        </w:rPr>
        <w:t>总则</w:t>
      </w:r>
    </w:p>
    <w:p w14:paraId="72CA0B1E">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第一条</w:t>
      </w:r>
      <w:r>
        <w:rPr>
          <w:rFonts w:ascii="Times New Roman" w:hAnsi="Times New Roman" w:eastAsia="仿宋_GB2312"/>
          <w:sz w:val="32"/>
          <w:szCs w:val="32"/>
        </w:rPr>
        <w:t xml:space="preserve">  </w:t>
      </w:r>
      <w:r>
        <w:rPr>
          <w:rFonts w:hint="eastAsia" w:ascii="Times New Roman" w:hAnsi="Times New Roman" w:eastAsia="仿宋_GB2312"/>
          <w:sz w:val="32"/>
          <w:szCs w:val="32"/>
        </w:rPr>
        <w:t>为进一步加强机动车停放服务收费管理，规范机动车停放收费行为，根据《中华人民共和国价格法》《关于进一步完善机动车停放服务收费政策的指导意见》（发改价格〔</w:t>
      </w:r>
      <w:r>
        <w:rPr>
          <w:rFonts w:ascii="Times New Roman" w:hAnsi="Times New Roman" w:eastAsia="仿宋_GB2312"/>
          <w:sz w:val="32"/>
          <w:szCs w:val="32"/>
        </w:rPr>
        <w:t>2015</w:t>
      </w:r>
      <w:r>
        <w:rPr>
          <w:rFonts w:hint="eastAsia" w:ascii="Times New Roman" w:hAnsi="Times New Roman" w:eastAsia="仿宋_GB2312"/>
          <w:sz w:val="32"/>
          <w:szCs w:val="32"/>
        </w:rPr>
        <w:t>〕</w:t>
      </w:r>
      <w:r>
        <w:rPr>
          <w:rFonts w:ascii="Times New Roman" w:hAnsi="Times New Roman" w:eastAsia="仿宋_GB2312"/>
          <w:sz w:val="32"/>
          <w:szCs w:val="32"/>
        </w:rPr>
        <w:t>2975</w:t>
      </w:r>
      <w:r>
        <w:rPr>
          <w:rFonts w:hint="eastAsia" w:ascii="Times New Roman" w:hAnsi="Times New Roman" w:eastAsia="仿宋_GB2312"/>
          <w:sz w:val="32"/>
          <w:szCs w:val="32"/>
        </w:rPr>
        <w:t>号）和《陕西省定价目录》（陕发改价格〔</w:t>
      </w:r>
      <w:r>
        <w:rPr>
          <w:rFonts w:ascii="Times New Roman" w:hAnsi="Times New Roman" w:eastAsia="仿宋_GB2312"/>
          <w:sz w:val="32"/>
          <w:szCs w:val="32"/>
        </w:rPr>
        <w:t>2021</w:t>
      </w:r>
      <w:r>
        <w:rPr>
          <w:rFonts w:hint="eastAsia" w:ascii="Times New Roman" w:hAnsi="Times New Roman" w:eastAsia="仿宋_GB2312"/>
          <w:sz w:val="32"/>
          <w:szCs w:val="32"/>
        </w:rPr>
        <w:t>〕</w:t>
      </w:r>
      <w:r>
        <w:rPr>
          <w:rFonts w:ascii="Times New Roman" w:hAnsi="Times New Roman" w:eastAsia="仿宋_GB2312"/>
          <w:sz w:val="32"/>
          <w:szCs w:val="32"/>
        </w:rPr>
        <w:t>1834</w:t>
      </w:r>
      <w:r>
        <w:rPr>
          <w:rFonts w:hint="eastAsia" w:ascii="Times New Roman" w:hAnsi="Times New Roman" w:eastAsia="仿宋_GB2312"/>
          <w:sz w:val="32"/>
          <w:szCs w:val="32"/>
        </w:rPr>
        <w:t>号）等法律法规及规定，结合示范区实际，制定本办法。</w:t>
      </w:r>
    </w:p>
    <w:p w14:paraId="6734B066">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第二条</w:t>
      </w:r>
      <w:r>
        <w:rPr>
          <w:rFonts w:ascii="Times New Roman" w:hAnsi="Times New Roman" w:eastAsia="仿宋_GB2312"/>
          <w:sz w:val="32"/>
          <w:szCs w:val="32"/>
        </w:rPr>
        <w:t xml:space="preserve">  </w:t>
      </w:r>
      <w:r>
        <w:rPr>
          <w:rFonts w:hint="eastAsia" w:ascii="Times New Roman" w:hAnsi="Times New Roman" w:eastAsia="仿宋_GB2312"/>
          <w:sz w:val="32"/>
          <w:szCs w:val="32"/>
        </w:rPr>
        <w:t>本办法适用于示范区行政区域内的机动车停放服务收费管理。</w:t>
      </w:r>
    </w:p>
    <w:p w14:paraId="00A31E44">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第三条</w:t>
      </w:r>
      <w:r>
        <w:rPr>
          <w:rFonts w:ascii="Times New Roman" w:hAnsi="Times New Roman" w:eastAsia="仿宋_GB2312"/>
          <w:sz w:val="32"/>
          <w:szCs w:val="32"/>
        </w:rPr>
        <w:t xml:space="preserve">  </w:t>
      </w:r>
      <w:r>
        <w:rPr>
          <w:rFonts w:hint="eastAsia" w:ascii="Times New Roman" w:hAnsi="Times New Roman" w:eastAsia="仿宋_GB2312"/>
          <w:sz w:val="32"/>
          <w:szCs w:val="32"/>
        </w:rPr>
        <w:t>本办法所称机动车停放服务收费，是指依法从事机动车停放服务的经营者或管理者为机动车提供停放场所收取费用的行为。</w:t>
      </w:r>
    </w:p>
    <w:p w14:paraId="33F0904E">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第四条</w:t>
      </w:r>
      <w:r>
        <w:rPr>
          <w:rFonts w:ascii="Times New Roman" w:hAnsi="Times New Roman" w:eastAsia="仿宋_GB2312"/>
          <w:sz w:val="32"/>
          <w:szCs w:val="32"/>
        </w:rPr>
        <w:t xml:space="preserve">  </w:t>
      </w:r>
      <w:r>
        <w:rPr>
          <w:rFonts w:hint="eastAsia" w:ascii="Times New Roman" w:hAnsi="Times New Roman" w:eastAsia="仿宋_GB2312"/>
          <w:sz w:val="32"/>
          <w:szCs w:val="32"/>
        </w:rPr>
        <w:t>本办法所称停车设施，是指各类合法建设或施划的机动车停放的场所，包括道路机动车停车泊位以及室外停车场、室内停车场、旅游景区（点）停车场等各类停车场。</w:t>
      </w:r>
    </w:p>
    <w:p w14:paraId="3769EC8D">
      <w:pPr>
        <w:snapToGrid w:val="0"/>
        <w:spacing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（一）道路机动车停车泊位是指占用城市机动车道、非机动车道、人行道、高架桥桥下地面等城市设施，并经公安、城市管理等部门依法施划的停车泊位。</w:t>
      </w:r>
    </w:p>
    <w:p w14:paraId="20CDB30A">
      <w:pPr>
        <w:snapToGrid w:val="0"/>
        <w:spacing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（二）室外停车场是指停车位主要在建筑物外设置的停车场。</w:t>
      </w:r>
    </w:p>
    <w:p w14:paraId="6E18F989">
      <w:pPr>
        <w:snapToGrid w:val="0"/>
        <w:spacing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（三）室内停车场是指停车位主要在建筑物内设置的停车场（含立体停车场和机械式停车场）。</w:t>
      </w:r>
    </w:p>
    <w:p w14:paraId="79D4466A">
      <w:pPr>
        <w:snapToGrid w:val="0"/>
        <w:spacing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（四）旅游景区（点）停车场是指旅游景区（点）配套设置的停车场。</w:t>
      </w:r>
    </w:p>
    <w:p w14:paraId="6A146939">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第五条</w:t>
      </w:r>
      <w:r>
        <w:rPr>
          <w:rFonts w:ascii="Times New Roman" w:hAnsi="Times New Roman" w:eastAsia="仿宋_GB2312"/>
          <w:sz w:val="32"/>
          <w:szCs w:val="32"/>
        </w:rPr>
        <w:t xml:space="preserve">  </w:t>
      </w:r>
      <w:r>
        <w:rPr>
          <w:rFonts w:hint="eastAsia" w:ascii="Times New Roman" w:hAnsi="Times New Roman" w:eastAsia="仿宋_GB2312"/>
          <w:sz w:val="32"/>
          <w:szCs w:val="32"/>
        </w:rPr>
        <w:t>根据停车设施投资主体和经营性质等因素，机动车停放服务收费实行政府定价和市场调节价。</w:t>
      </w:r>
    </w:p>
    <w:p w14:paraId="52F8852F">
      <w:pPr>
        <w:snapToGrid w:val="0"/>
        <w:spacing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（一）下列停车设施收费实行政府定价：</w:t>
      </w:r>
    </w:p>
    <w:p w14:paraId="6C0E4CE7">
      <w:pPr>
        <w:snapToGrid w:val="0"/>
        <w:spacing w:line="360" w:lineRule="auto"/>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依法施划的城市道路机动车停车泊位；</w:t>
      </w:r>
    </w:p>
    <w:p w14:paraId="74F50E72">
      <w:pPr>
        <w:snapToGrid w:val="0"/>
        <w:spacing w:line="360" w:lineRule="auto"/>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政府财政性资金、城市建设投资（交通投资）公司投资建设的停车设施；</w:t>
      </w:r>
    </w:p>
    <w:p w14:paraId="6A07B1AD">
      <w:pPr>
        <w:snapToGrid w:val="0"/>
        <w:spacing w:line="360" w:lineRule="auto"/>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车站（含火车站、高铁站、公路客运站、公交枢纽站）、利用公共资源建设的旅游景区（点）等具有自然垄断经营性质的配套停车设施；</w:t>
      </w:r>
    </w:p>
    <w:p w14:paraId="30D9CD5E">
      <w:pPr>
        <w:snapToGrid w:val="0"/>
        <w:spacing w:line="360" w:lineRule="auto"/>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医院、学校、图书馆、博物馆、科技馆、青少年宫、展览场馆、文化中心（宫、馆）、体育场（馆）、公园、殡葬服务场所等具有公益性特征的配套停车设施；</w:t>
      </w:r>
    </w:p>
    <w:p w14:paraId="458203DD">
      <w:pPr>
        <w:snapToGrid w:val="0"/>
        <w:spacing w:line="360" w:lineRule="auto"/>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法律法规明确规定实行政府定价的其他停车设施。</w:t>
      </w:r>
    </w:p>
    <w:p w14:paraId="3E3DFF5C">
      <w:pPr>
        <w:snapToGrid w:val="0"/>
        <w:spacing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（二）下列停车设施收费实行市场调节价：</w:t>
      </w:r>
    </w:p>
    <w:p w14:paraId="3E50C9C4">
      <w:pPr>
        <w:snapToGrid w:val="0"/>
        <w:spacing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除实行政府定价以外合法经营的停车设施。</w:t>
      </w:r>
    </w:p>
    <w:p w14:paraId="760EAD55">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第六条</w:t>
      </w:r>
      <w:r>
        <w:rPr>
          <w:rFonts w:ascii="Times New Roman" w:hAnsi="Times New Roman" w:eastAsia="仿宋_GB2312"/>
          <w:sz w:val="32"/>
          <w:szCs w:val="32"/>
        </w:rPr>
        <w:t xml:space="preserve">  </w:t>
      </w:r>
      <w:r>
        <w:rPr>
          <w:rFonts w:hint="eastAsia" w:ascii="Times New Roman" w:hAnsi="Times New Roman" w:eastAsia="仿宋_GB2312"/>
          <w:sz w:val="32"/>
          <w:szCs w:val="32"/>
        </w:rPr>
        <w:t>政府与社会资本合作（</w:t>
      </w:r>
      <w:r>
        <w:rPr>
          <w:rFonts w:ascii="Times New Roman" w:hAnsi="Times New Roman" w:eastAsia="仿宋_GB2312"/>
          <w:sz w:val="32"/>
          <w:szCs w:val="32"/>
        </w:rPr>
        <w:t>PPP</w:t>
      </w:r>
      <w:r>
        <w:rPr>
          <w:rFonts w:hint="eastAsia" w:ascii="Times New Roman" w:hAnsi="Times New Roman" w:eastAsia="仿宋_GB2312"/>
          <w:sz w:val="32"/>
          <w:szCs w:val="32"/>
        </w:rPr>
        <w:t>）建设的停车设施，具体收费标准由政府出资方与社会投资者按照相关规定协议确定。</w:t>
      </w:r>
    </w:p>
    <w:p w14:paraId="2332751E">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第七条</w:t>
      </w:r>
      <w:r>
        <w:rPr>
          <w:rFonts w:ascii="Times New Roman" w:hAnsi="Times New Roman" w:eastAsia="仿宋_GB2312"/>
          <w:sz w:val="32"/>
          <w:szCs w:val="32"/>
        </w:rPr>
        <w:t xml:space="preserve">  </w:t>
      </w:r>
      <w:r>
        <w:rPr>
          <w:rFonts w:hint="eastAsia" w:ascii="Times New Roman" w:hAnsi="Times New Roman" w:eastAsia="仿宋_GB2312"/>
          <w:sz w:val="32"/>
          <w:szCs w:val="32"/>
        </w:rPr>
        <w:t>住宅小区物业管理区域内的机动车停放服务收费，按照陕西省物业服务收费有关政策规定执行。</w:t>
      </w:r>
    </w:p>
    <w:p w14:paraId="7AA499C2">
      <w:pPr>
        <w:snapToGrid w:val="0"/>
        <w:spacing w:line="360" w:lineRule="auto"/>
        <w:jc w:val="center"/>
        <w:rPr>
          <w:rFonts w:ascii="Times New Roman" w:hAnsi="Times New Roman" w:eastAsia="黑体" w:cs="黑体"/>
          <w:sz w:val="32"/>
          <w:szCs w:val="32"/>
        </w:rPr>
      </w:pPr>
      <w:r>
        <w:rPr>
          <w:rFonts w:hint="eastAsia" w:ascii="Times New Roman" w:hAnsi="Times New Roman" w:eastAsia="黑体" w:cs="黑体"/>
          <w:sz w:val="32"/>
          <w:szCs w:val="32"/>
        </w:rPr>
        <w:t>第二章</w:t>
      </w:r>
      <w:r>
        <w:rPr>
          <w:rFonts w:ascii="Times New Roman" w:hAnsi="Times New Roman" w:eastAsia="黑体" w:cs="黑体"/>
          <w:sz w:val="32"/>
          <w:szCs w:val="32"/>
        </w:rPr>
        <w:t xml:space="preserve">  </w:t>
      </w:r>
      <w:r>
        <w:rPr>
          <w:rFonts w:hint="eastAsia" w:ascii="Times New Roman" w:hAnsi="Times New Roman" w:eastAsia="黑体" w:cs="黑体"/>
          <w:sz w:val="32"/>
          <w:szCs w:val="32"/>
        </w:rPr>
        <w:t>停车收费标准和优惠政策</w:t>
      </w:r>
    </w:p>
    <w:p w14:paraId="27503EF9">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第八条</w:t>
      </w:r>
      <w:r>
        <w:rPr>
          <w:rFonts w:ascii="Times New Roman" w:hAnsi="Times New Roman" w:eastAsia="仿宋_GB2312"/>
          <w:sz w:val="32"/>
          <w:szCs w:val="32"/>
        </w:rPr>
        <w:t xml:space="preserve">  </w:t>
      </w:r>
      <w:r>
        <w:rPr>
          <w:rFonts w:hint="eastAsia" w:ascii="Times New Roman" w:hAnsi="Times New Roman" w:eastAsia="仿宋_GB2312"/>
          <w:sz w:val="32"/>
          <w:szCs w:val="32"/>
        </w:rPr>
        <w:t>实行政府定价的机动车停放服务收费标准由发展改革部门会同相关部门制定，报示范区管委会批准后实施。</w:t>
      </w:r>
    </w:p>
    <w:p w14:paraId="63FD9377">
      <w:pPr>
        <w:snapToGrid w:val="0"/>
        <w:spacing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实行市场调节价的机动车停放服务收费标准，由经营者依据经营成本和市场供求状况，遵循公平、合法和诚实信用的原则自主制定，也可参照政府定价的机动车停放服务收费标准执行。</w:t>
      </w:r>
    </w:p>
    <w:p w14:paraId="55C49135">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第九条</w:t>
      </w:r>
      <w:r>
        <w:rPr>
          <w:rFonts w:ascii="Times New Roman" w:hAnsi="Times New Roman" w:eastAsia="楷体_GB2312" w:cs="楷体_GB2312"/>
          <w:b/>
          <w:bCs/>
          <w:sz w:val="32"/>
          <w:szCs w:val="32"/>
        </w:rPr>
        <w:t xml:space="preserve">  </w:t>
      </w:r>
      <w:r>
        <w:rPr>
          <w:rFonts w:hint="eastAsia" w:ascii="Times New Roman" w:hAnsi="Times New Roman" w:eastAsia="仿宋_GB2312"/>
          <w:sz w:val="32"/>
          <w:szCs w:val="32"/>
        </w:rPr>
        <w:t>大型车停放在道路机动车停车泊位，按实际占用小型车车位数量计费。</w:t>
      </w:r>
    </w:p>
    <w:p w14:paraId="6D6F7639">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第十条</w:t>
      </w:r>
      <w:r>
        <w:rPr>
          <w:rFonts w:ascii="Times New Roman" w:hAnsi="Times New Roman" w:eastAsia="楷体_GB2312" w:cs="楷体_GB2312"/>
          <w:b/>
          <w:bCs/>
          <w:sz w:val="32"/>
          <w:szCs w:val="32"/>
        </w:rPr>
        <w:t xml:space="preserve">  </w:t>
      </w:r>
      <w:r>
        <w:rPr>
          <w:rFonts w:hint="eastAsia" w:ascii="Times New Roman" w:hAnsi="Times New Roman" w:eastAsia="仿宋_GB2312"/>
          <w:sz w:val="32"/>
          <w:szCs w:val="32"/>
        </w:rPr>
        <w:t>机动车停车设施可以根据停车实际情况，实行包月（季、年）收费，具体收费标准可在公示的收费标准范围内，由停车场（泊位）经营（管理）者按照实际情况确定优惠价格。</w:t>
      </w:r>
    </w:p>
    <w:p w14:paraId="2CF2B113">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第十一条</w:t>
      </w:r>
      <w:r>
        <w:rPr>
          <w:rFonts w:ascii="Times New Roman" w:hAnsi="Times New Roman" w:eastAsia="仿宋_GB2312"/>
          <w:sz w:val="32"/>
          <w:szCs w:val="32"/>
        </w:rPr>
        <w:t xml:space="preserve">  </w:t>
      </w:r>
      <w:r>
        <w:rPr>
          <w:rFonts w:hint="eastAsia" w:ascii="Times New Roman" w:hAnsi="Times New Roman" w:eastAsia="仿宋_GB2312"/>
          <w:sz w:val="32"/>
          <w:szCs w:val="32"/>
        </w:rPr>
        <w:t>机动车停放服务收费执行以下优惠政策。</w:t>
      </w:r>
    </w:p>
    <w:p w14:paraId="110AC5B6">
      <w:pPr>
        <w:snapToGrid w:val="0"/>
        <w:spacing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（一）车辆进入政府定价的停车设施，停放时间不超过</w:t>
      </w:r>
      <w:r>
        <w:rPr>
          <w:rFonts w:ascii="Times New Roman" w:hAnsi="Times New Roman" w:eastAsia="仿宋_GB2312"/>
          <w:sz w:val="32"/>
          <w:szCs w:val="32"/>
        </w:rPr>
        <w:t>30</w:t>
      </w:r>
      <w:r>
        <w:rPr>
          <w:rFonts w:hint="eastAsia" w:ascii="Times New Roman" w:hAnsi="Times New Roman" w:eastAsia="仿宋_GB2312"/>
          <w:sz w:val="32"/>
          <w:szCs w:val="32"/>
        </w:rPr>
        <w:t>分钟的（含</w:t>
      </w:r>
      <w:r>
        <w:rPr>
          <w:rFonts w:ascii="Times New Roman" w:hAnsi="Times New Roman" w:eastAsia="仿宋_GB2312"/>
          <w:sz w:val="32"/>
          <w:szCs w:val="32"/>
        </w:rPr>
        <w:t>30</w:t>
      </w:r>
      <w:r>
        <w:rPr>
          <w:rFonts w:hint="eastAsia" w:ascii="Times New Roman" w:hAnsi="Times New Roman" w:eastAsia="仿宋_GB2312"/>
          <w:sz w:val="32"/>
          <w:szCs w:val="32"/>
        </w:rPr>
        <w:t>分钟）免收停放服务费。鼓励实行市场调价的停车设施参照执行。</w:t>
      </w:r>
    </w:p>
    <w:p w14:paraId="367337D3">
      <w:pPr>
        <w:snapToGrid w:val="0"/>
        <w:spacing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（二）执行公务的军车、警车、有标识的行政执法车、应急救援车、消防车、救护车、救灾抢险车、环卫车、园林绿化车、医疗废弃物转运车、市政设施维护车、殡葬车免收停放服务费；</w:t>
      </w:r>
    </w:p>
    <w:p w14:paraId="66EC5400">
      <w:pPr>
        <w:snapToGrid w:val="0"/>
        <w:spacing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（三）法律、法规等规定的其他应当免费的车辆。</w:t>
      </w:r>
    </w:p>
    <w:p w14:paraId="6A2454BC">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第十二条</w:t>
      </w:r>
      <w:r>
        <w:rPr>
          <w:rFonts w:ascii="Times New Roman" w:hAnsi="Times New Roman" w:eastAsia="楷体_GB2312" w:cs="楷体_GB2312"/>
          <w:b/>
          <w:bCs/>
          <w:sz w:val="32"/>
          <w:szCs w:val="32"/>
        </w:rPr>
        <w:t xml:space="preserve">  </w:t>
      </w:r>
      <w:r>
        <w:rPr>
          <w:rFonts w:hint="eastAsia" w:ascii="Times New Roman" w:hAnsi="Times New Roman" w:eastAsia="仿宋_GB2312"/>
          <w:sz w:val="32"/>
          <w:szCs w:val="32"/>
        </w:rPr>
        <w:t>中国杨凌农业高新科技成果博览会活动期间，机动车停放服务收费管理执行相应的限价管理政策。</w:t>
      </w:r>
    </w:p>
    <w:p w14:paraId="2740855E">
      <w:pPr>
        <w:snapToGrid w:val="0"/>
        <w:spacing w:line="360" w:lineRule="auto"/>
        <w:jc w:val="center"/>
        <w:rPr>
          <w:rFonts w:ascii="Times New Roman" w:hAnsi="Times New Roman" w:eastAsia="黑体" w:cs="黑体"/>
          <w:sz w:val="32"/>
          <w:szCs w:val="32"/>
        </w:rPr>
      </w:pPr>
      <w:r>
        <w:rPr>
          <w:rFonts w:hint="eastAsia" w:ascii="Times New Roman" w:hAnsi="Times New Roman" w:eastAsia="黑体" w:cs="黑体"/>
          <w:sz w:val="32"/>
          <w:szCs w:val="32"/>
        </w:rPr>
        <w:t>第三章</w:t>
      </w:r>
      <w:r>
        <w:rPr>
          <w:rFonts w:ascii="Times New Roman" w:hAnsi="Times New Roman" w:eastAsia="黑体" w:cs="黑体"/>
          <w:sz w:val="32"/>
          <w:szCs w:val="32"/>
        </w:rPr>
        <w:t xml:space="preserve">  </w:t>
      </w:r>
      <w:r>
        <w:rPr>
          <w:rFonts w:hint="eastAsia" w:ascii="Times New Roman" w:hAnsi="Times New Roman" w:eastAsia="黑体" w:cs="黑体"/>
          <w:sz w:val="32"/>
          <w:szCs w:val="32"/>
        </w:rPr>
        <w:t>停车收费管理</w:t>
      </w:r>
    </w:p>
    <w:p w14:paraId="66733D8F">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第十三条</w:t>
      </w:r>
      <w:r>
        <w:rPr>
          <w:rFonts w:ascii="Times New Roman" w:hAnsi="Times New Roman" w:eastAsia="仿宋_GB2312"/>
          <w:sz w:val="32"/>
          <w:szCs w:val="32"/>
        </w:rPr>
        <w:t xml:space="preserve">  </w:t>
      </w:r>
      <w:r>
        <w:rPr>
          <w:rFonts w:hint="eastAsia" w:ascii="Times New Roman" w:hAnsi="Times New Roman" w:eastAsia="仿宋_GB2312"/>
          <w:sz w:val="32"/>
          <w:szCs w:val="32"/>
        </w:rPr>
        <w:t>鼓励有条件的国家机关、企业事业单位、住宅小区等内部专用停车设施向社会错时开放。其中，国家机关、事业单位内部专用停车设施向社会错时开放，收费标准按照不高于政府定价停车设施收费标准执行；企业、住宅小区内部专用停车设施向社会错时开放，由经营管理者自主确定收费标准。</w:t>
      </w:r>
    </w:p>
    <w:p w14:paraId="0CD6A1E6">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第十四条</w:t>
      </w:r>
      <w:r>
        <w:rPr>
          <w:rFonts w:ascii="Times New Roman" w:hAnsi="Times New Roman" w:eastAsia="楷体_GB2312" w:cs="楷体_GB2312"/>
          <w:b/>
          <w:bCs/>
          <w:sz w:val="32"/>
          <w:szCs w:val="32"/>
        </w:rPr>
        <w:t xml:space="preserve">  </w:t>
      </w:r>
      <w:r>
        <w:rPr>
          <w:rFonts w:hint="eastAsia" w:ascii="Times New Roman" w:hAnsi="Times New Roman" w:eastAsia="仿宋_GB2312"/>
          <w:sz w:val="32"/>
          <w:szCs w:val="32"/>
        </w:rPr>
        <w:t>机动车停放服务收费应当遵守明码标价制度。</w:t>
      </w:r>
    </w:p>
    <w:p w14:paraId="2BB33150">
      <w:pPr>
        <w:snapToGrid w:val="0"/>
        <w:spacing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机动车停车设施经营者必须在经营场所显著位置设置统一标价牌，标明停放服务收费定价形式、收费标准、收费时段、计费方式、收费依据、优惠政策、经营者名称和投诉举报电话等，广泛接受社会监督。</w:t>
      </w:r>
    </w:p>
    <w:p w14:paraId="4E1E97B4">
      <w:pPr>
        <w:snapToGrid w:val="0"/>
        <w:spacing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实行政府定价的停车设施标价牌采用蓝底白字，实行市场调节价的停车设施标价牌采用黄底黑字。</w:t>
      </w:r>
    </w:p>
    <w:p w14:paraId="57B43579">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第十五条</w:t>
      </w:r>
      <w:r>
        <w:rPr>
          <w:rFonts w:ascii="Times New Roman" w:hAnsi="Times New Roman" w:eastAsia="仿宋_GB2312"/>
          <w:sz w:val="32"/>
          <w:szCs w:val="32"/>
        </w:rPr>
        <w:t xml:space="preserve">  </w:t>
      </w:r>
      <w:r>
        <w:rPr>
          <w:rFonts w:hint="eastAsia" w:ascii="Times New Roman" w:hAnsi="Times New Roman" w:eastAsia="仿宋_GB2312"/>
          <w:sz w:val="32"/>
          <w:szCs w:val="32"/>
        </w:rPr>
        <w:t>机动车停放服务收费，按照不同产权性质和经营模式，分别使用税务部门或财政部门统一印制（监制）的正式票据，经营者或管理者不得自制票据，未按规定出具正式票据的，机动车停放人有权拒付机动车停放服务费用。</w:t>
      </w:r>
    </w:p>
    <w:p w14:paraId="48C4D902">
      <w:pPr>
        <w:snapToGrid w:val="0"/>
        <w:spacing w:line="360" w:lineRule="auto"/>
        <w:ind w:firstLine="643" w:firstLineChars="200"/>
        <w:rPr>
          <w:rFonts w:ascii="Times New Roman" w:hAnsi="Times New Roman" w:eastAsia="BatangChe"/>
          <w:sz w:val="32"/>
          <w:szCs w:val="32"/>
        </w:rPr>
      </w:pPr>
      <w:r>
        <w:rPr>
          <w:rFonts w:hint="eastAsia" w:ascii="Times New Roman" w:hAnsi="Times New Roman" w:eastAsia="楷体_GB2312" w:cs="楷体_GB2312"/>
          <w:b/>
          <w:bCs/>
          <w:sz w:val="32"/>
          <w:szCs w:val="32"/>
        </w:rPr>
        <w:t>第十六条</w:t>
      </w:r>
      <w:r>
        <w:rPr>
          <w:rFonts w:ascii="Times New Roman" w:hAnsi="Times New Roman" w:eastAsia="仿宋_GB2312"/>
          <w:sz w:val="32"/>
          <w:szCs w:val="32"/>
        </w:rPr>
        <w:t xml:space="preserve">  </w:t>
      </w:r>
      <w:r>
        <w:rPr>
          <w:rFonts w:hint="eastAsia" w:ascii="Times New Roman" w:hAnsi="Times New Roman" w:eastAsia="仿宋_GB2312"/>
          <w:sz w:val="32"/>
          <w:szCs w:val="32"/>
        </w:rPr>
        <w:t>行政执法机关对实行查封扣押发生的停放服务费用，由作出行政处罚的行政机关承担，在法定处理期限内，停车设施经营者不得向当事人收取或变相收取停放服务费，经告知逾期不及时提取车辆所产生的停放服务费由车主承担。</w:t>
      </w:r>
    </w:p>
    <w:p w14:paraId="574ED935">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第十七条</w:t>
      </w:r>
      <w:r>
        <w:rPr>
          <w:rFonts w:ascii="Times New Roman" w:hAnsi="Times New Roman" w:eastAsia="楷体_GB2312" w:cs="楷体_GB2312"/>
          <w:b/>
          <w:bCs/>
          <w:sz w:val="32"/>
          <w:szCs w:val="32"/>
        </w:rPr>
        <w:t xml:space="preserve">  </w:t>
      </w:r>
      <w:r>
        <w:rPr>
          <w:rFonts w:hint="eastAsia" w:ascii="Times New Roman" w:hAnsi="Times New Roman" w:eastAsia="仿宋_GB2312"/>
          <w:sz w:val="32"/>
          <w:szCs w:val="32"/>
        </w:rPr>
        <w:t>机动车停放人应按规定的收费标准缴纳停放服务费。对无正当理由拒不缴纳或者逃避缴纳停放服务费用的，经营者或管理者可以依法向其追缴。</w:t>
      </w:r>
    </w:p>
    <w:p w14:paraId="35360425">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第十八条</w:t>
      </w:r>
      <w:r>
        <w:rPr>
          <w:rFonts w:ascii="Times New Roman" w:hAnsi="Times New Roman" w:eastAsia="楷体_GB2312" w:cs="楷体_GB2312"/>
          <w:b/>
          <w:bCs/>
          <w:sz w:val="32"/>
          <w:szCs w:val="32"/>
        </w:rPr>
        <w:t xml:space="preserve">  </w:t>
      </w:r>
      <w:r>
        <w:rPr>
          <w:rFonts w:hint="eastAsia" w:ascii="Times New Roman" w:hAnsi="Times New Roman" w:eastAsia="仿宋_GB2312"/>
          <w:sz w:val="32"/>
          <w:szCs w:val="32"/>
        </w:rPr>
        <w:t>停车设施行政主管部门负责机动车停车设施标价牌的监制，引导停车设施经营者合法诚信经营，加强内部管理，自觉规范服务行为，提升停车服务质量。</w:t>
      </w:r>
    </w:p>
    <w:p w14:paraId="66BADDC0">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第十九条</w:t>
      </w:r>
      <w:r>
        <w:rPr>
          <w:rFonts w:ascii="Times New Roman" w:hAnsi="Times New Roman" w:eastAsia="楷体_GB2312" w:cs="楷体_GB2312"/>
          <w:b/>
          <w:bCs/>
          <w:sz w:val="32"/>
          <w:szCs w:val="32"/>
        </w:rPr>
        <w:t xml:space="preserve">  </w:t>
      </w:r>
      <w:r>
        <w:rPr>
          <w:rFonts w:hint="eastAsia" w:ascii="Times New Roman" w:hAnsi="Times New Roman" w:eastAsia="仿宋_GB2312"/>
          <w:sz w:val="32"/>
          <w:szCs w:val="32"/>
        </w:rPr>
        <w:t>市场监管、财政、税务等部门依据职责应加强对停车设施经营者的收费行为进行监督检查，对不执行政府定价、不明码标价、不执行免费（优惠）规定、不按规定出具收费票据等违法违规行为，责令其改正，并按有关规定予以处罚，保护消费者合法权益。</w:t>
      </w:r>
    </w:p>
    <w:p w14:paraId="329155D4">
      <w:pPr>
        <w:snapToGrid w:val="0"/>
        <w:spacing w:line="360" w:lineRule="auto"/>
        <w:jc w:val="center"/>
        <w:rPr>
          <w:rFonts w:ascii="Times New Roman" w:hAnsi="Times New Roman" w:eastAsia="黑体" w:cs="黑体"/>
          <w:sz w:val="32"/>
          <w:szCs w:val="32"/>
        </w:rPr>
      </w:pPr>
      <w:r>
        <w:rPr>
          <w:rFonts w:hint="eastAsia" w:ascii="Times New Roman" w:hAnsi="Times New Roman" w:eastAsia="黑体" w:cs="黑体"/>
          <w:sz w:val="32"/>
          <w:szCs w:val="32"/>
        </w:rPr>
        <w:t>第四章</w:t>
      </w:r>
      <w:r>
        <w:rPr>
          <w:rFonts w:ascii="Times New Roman" w:hAnsi="Times New Roman" w:eastAsia="黑体" w:cs="黑体"/>
          <w:sz w:val="32"/>
          <w:szCs w:val="32"/>
        </w:rPr>
        <w:t xml:space="preserve">  </w:t>
      </w:r>
      <w:r>
        <w:rPr>
          <w:rFonts w:hint="eastAsia" w:ascii="Times New Roman" w:hAnsi="Times New Roman" w:eastAsia="黑体" w:cs="黑体"/>
          <w:sz w:val="32"/>
          <w:szCs w:val="32"/>
        </w:rPr>
        <w:t>附</w:t>
      </w:r>
      <w:r>
        <w:rPr>
          <w:rFonts w:ascii="Times New Roman" w:hAnsi="Times New Roman" w:eastAsia="黑体" w:cs="黑体"/>
          <w:sz w:val="32"/>
          <w:szCs w:val="32"/>
        </w:rPr>
        <w:t xml:space="preserve"> </w:t>
      </w:r>
      <w:r>
        <w:rPr>
          <w:rFonts w:hint="eastAsia" w:ascii="Times New Roman" w:hAnsi="Times New Roman" w:eastAsia="黑体" w:cs="黑体"/>
          <w:sz w:val="32"/>
          <w:szCs w:val="32"/>
        </w:rPr>
        <w:t>则</w:t>
      </w:r>
    </w:p>
    <w:p w14:paraId="5DB1F0D2">
      <w:pPr>
        <w:snapToGrid w:val="0"/>
        <w:spacing w:line="360" w:lineRule="auto"/>
        <w:ind w:firstLine="643" w:firstLineChars="200"/>
        <w:rPr>
          <w:rFonts w:ascii="Times New Roman" w:hAnsi="Times New Roman" w:eastAsia="仿宋_GB2312"/>
          <w:sz w:val="32"/>
          <w:szCs w:val="32"/>
        </w:rPr>
      </w:pPr>
      <w:r>
        <w:rPr>
          <w:rFonts w:hint="eastAsia" w:ascii="Times New Roman" w:hAnsi="Times New Roman" w:eastAsia="楷体_GB2312" w:cs="楷体_GB2312"/>
          <w:b/>
          <w:bCs/>
          <w:sz w:val="32"/>
          <w:szCs w:val="32"/>
        </w:rPr>
        <w:t>第二十条</w:t>
      </w:r>
      <w:r>
        <w:rPr>
          <w:rFonts w:ascii="Times New Roman" w:hAnsi="Times New Roman" w:eastAsia="仿宋_GB2312"/>
          <w:sz w:val="32"/>
          <w:szCs w:val="32"/>
        </w:rPr>
        <w:t xml:space="preserve">  </w:t>
      </w:r>
      <w:r>
        <w:rPr>
          <w:rFonts w:hint="eastAsia" w:ascii="Times New Roman" w:hAnsi="Times New Roman" w:eastAsia="仿宋_GB2312"/>
          <w:sz w:val="32"/>
          <w:szCs w:val="32"/>
        </w:rPr>
        <w:t>本办法自</w:t>
      </w:r>
      <w:r>
        <w:rPr>
          <w:rFonts w:ascii="Times New Roman" w:hAnsi="Times New Roman" w:eastAsia="仿宋_GB2312"/>
          <w:sz w:val="32"/>
          <w:szCs w:val="32"/>
        </w:rPr>
        <w:t>2026</w:t>
      </w:r>
      <w:r>
        <w:rPr>
          <w:rFonts w:hint="eastAsia" w:ascii="Times New Roman" w:hAnsi="Times New Roman" w:eastAsia="仿宋_GB2312"/>
          <w:sz w:val="32"/>
          <w:szCs w:val="32"/>
        </w:rPr>
        <w:t>年</w:t>
      </w:r>
      <w:r>
        <w:rPr>
          <w:rFonts w:ascii="Times New Roman" w:hAnsi="Times New Roman" w:eastAsia="仿宋_GB2312"/>
          <w:sz w:val="32"/>
          <w:szCs w:val="32"/>
        </w:rPr>
        <w:t xml:space="preserve">  </w:t>
      </w:r>
      <w:r>
        <w:rPr>
          <w:rFonts w:hint="eastAsia" w:ascii="Times New Roman" w:hAnsi="Times New Roman" w:eastAsia="仿宋_GB2312"/>
          <w:sz w:val="32"/>
          <w:szCs w:val="32"/>
        </w:rPr>
        <w:t>月</w:t>
      </w:r>
      <w:r>
        <w:rPr>
          <w:rFonts w:ascii="Times New Roman" w:hAnsi="Times New Roman" w:eastAsia="仿宋_GB2312"/>
          <w:sz w:val="32"/>
          <w:szCs w:val="32"/>
        </w:rPr>
        <w:t xml:space="preserve">  </w:t>
      </w:r>
      <w:r>
        <w:rPr>
          <w:rFonts w:hint="eastAsia" w:ascii="Times New Roman" w:hAnsi="Times New Roman" w:eastAsia="仿宋_GB2312"/>
          <w:sz w:val="32"/>
          <w:szCs w:val="32"/>
        </w:rPr>
        <w:t>日起施行，有效期</w:t>
      </w:r>
      <w:r>
        <w:rPr>
          <w:rFonts w:ascii="Times New Roman" w:hAnsi="Times New Roman" w:eastAsia="仿宋_GB2312"/>
          <w:sz w:val="32"/>
          <w:szCs w:val="32"/>
        </w:rPr>
        <w:t>5</w:t>
      </w:r>
      <w:r>
        <w:rPr>
          <w:rFonts w:hint="eastAsia" w:ascii="Times New Roman" w:hAnsi="Times New Roman" w:eastAsia="仿宋_GB2312"/>
          <w:sz w:val="32"/>
          <w:szCs w:val="32"/>
        </w:rPr>
        <w:t>年。以前有关规定凡与本办法不一致的，按本办法执行。本办法实施期间如遇相关法律、法规和政策调整，按调整后的政策执行。</w:t>
      </w:r>
    </w:p>
    <w:p w14:paraId="62C358D0">
      <w:pPr>
        <w:pStyle w:val="19"/>
        <w:snapToGrid w:val="0"/>
        <w:spacing w:line="360" w:lineRule="auto"/>
        <w:ind w:firstLine="31680"/>
        <w:rPr>
          <w:rFonts w:ascii="Times New Roman" w:hAnsi="Times New Roman" w:eastAsia="仿宋_GB2312"/>
          <w:sz w:val="32"/>
          <w:szCs w:val="32"/>
        </w:rPr>
      </w:pPr>
    </w:p>
    <w:p w14:paraId="42D2E415">
      <w:pPr>
        <w:pStyle w:val="19"/>
        <w:snapToGrid w:val="0"/>
        <w:spacing w:line="360" w:lineRule="auto"/>
        <w:ind w:firstLine="31680"/>
        <w:rPr>
          <w:rFonts w:ascii="Times New Roman" w:hAnsi="Times New Roman" w:eastAsia="仿宋_GB2312"/>
          <w:sz w:val="32"/>
          <w:szCs w:val="32"/>
        </w:rPr>
      </w:pPr>
      <w:r>
        <w:rPr>
          <w:rFonts w:hint="eastAsia" w:ascii="Times New Roman" w:hAnsi="Times New Roman" w:eastAsia="仿宋_GB2312"/>
          <w:sz w:val="32"/>
          <w:szCs w:val="32"/>
        </w:rPr>
        <w:t>附件：政府定价的机动车停放服务收费标准</w:t>
      </w:r>
    </w:p>
    <w:p w14:paraId="6E65F5EA">
      <w:pPr>
        <w:pStyle w:val="19"/>
        <w:snapToGrid w:val="0"/>
        <w:spacing w:line="360" w:lineRule="auto"/>
        <w:ind w:firstLine="31680"/>
        <w:rPr>
          <w:rFonts w:ascii="Times New Roman" w:hAnsi="Times New Roman" w:eastAsia="仿宋_GB2312"/>
          <w:sz w:val="32"/>
          <w:szCs w:val="32"/>
        </w:rPr>
      </w:pPr>
    </w:p>
    <w:p w14:paraId="6409E1F5">
      <w:pPr>
        <w:pStyle w:val="19"/>
        <w:snapToGrid w:val="0"/>
        <w:spacing w:line="360" w:lineRule="auto"/>
        <w:ind w:firstLine="31680"/>
        <w:rPr>
          <w:rFonts w:ascii="Times New Roman" w:hAnsi="Times New Roman" w:eastAsia="仿宋_GB2312"/>
          <w:sz w:val="32"/>
          <w:szCs w:val="32"/>
        </w:rPr>
      </w:pPr>
    </w:p>
    <w:p w14:paraId="7A67C2DC">
      <w:pPr>
        <w:pStyle w:val="19"/>
        <w:snapToGrid w:val="0"/>
        <w:spacing w:line="360" w:lineRule="auto"/>
        <w:ind w:firstLine="31680"/>
        <w:rPr>
          <w:rFonts w:ascii="Times New Roman" w:hAnsi="Times New Roman" w:eastAsia="仿宋_GB2312"/>
          <w:sz w:val="32"/>
          <w:szCs w:val="32"/>
        </w:rPr>
        <w:sectPr>
          <w:footerReference r:id="rId3" w:type="default"/>
          <w:footerReference r:id="rId4" w:type="even"/>
          <w:pgSz w:w="11906" w:h="16838"/>
          <w:pgMar w:top="1985" w:right="1474" w:bottom="1928" w:left="1588" w:header="851" w:footer="1588" w:gutter="0"/>
          <w:cols w:space="720" w:num="1"/>
          <w:titlePg/>
          <w:docGrid w:type="lines" w:linePitch="312" w:charSpace="0"/>
        </w:sectPr>
      </w:pPr>
    </w:p>
    <w:p w14:paraId="69FCCDD3">
      <w:pPr>
        <w:pStyle w:val="19"/>
        <w:snapToGrid w:val="0"/>
        <w:spacing w:line="360" w:lineRule="auto"/>
        <w:ind w:firstLine="0" w:firstLineChars="0"/>
        <w:rPr>
          <w:rFonts w:ascii="Times New Roman" w:hAnsi="Times New Roman" w:eastAsia="黑体" w:cs="黑体"/>
          <w:sz w:val="32"/>
          <w:szCs w:val="32"/>
        </w:rPr>
      </w:pPr>
      <w:r>
        <w:rPr>
          <w:rFonts w:hint="eastAsia" w:ascii="Times New Roman" w:hAnsi="Times New Roman" w:eastAsia="黑体" w:cs="黑体"/>
          <w:sz w:val="32"/>
          <w:szCs w:val="32"/>
        </w:rPr>
        <w:t>附件</w:t>
      </w:r>
    </w:p>
    <w:p w14:paraId="3A382705">
      <w:pPr>
        <w:pStyle w:val="19"/>
        <w:ind w:firstLine="0" w:firstLineChars="0"/>
        <w:jc w:val="center"/>
        <w:rPr>
          <w:rFonts w:ascii="Times New Roman" w:hAnsi="Times New Roman" w:eastAsia="方正小标宋简体" w:cs="方正小标宋简体"/>
          <w:color w:val="000000"/>
          <w:sz w:val="44"/>
          <w:szCs w:val="44"/>
        </w:rPr>
      </w:pPr>
      <w:r>
        <w:rPr>
          <w:rFonts w:hint="eastAsia" w:ascii="Times New Roman" w:hAnsi="Times New Roman" w:eastAsia="方正小标宋简体" w:cs="方正小标宋简体"/>
          <w:color w:val="000000"/>
          <w:sz w:val="44"/>
          <w:szCs w:val="44"/>
        </w:rPr>
        <w:t>政府定价的机动车停放服务收费标准</w:t>
      </w:r>
    </w:p>
    <w:tbl>
      <w:tblPr>
        <w:tblStyle w:val="8"/>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6"/>
        <w:gridCol w:w="3096"/>
        <w:gridCol w:w="4407"/>
      </w:tblGrid>
      <w:tr w14:paraId="65FEF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2096" w:type="dxa"/>
            <w:vAlign w:val="center"/>
          </w:tcPr>
          <w:p w14:paraId="608644FF">
            <w:pPr>
              <w:pStyle w:val="19"/>
              <w:snapToGrid w:val="0"/>
              <w:ind w:firstLine="0" w:firstLineChars="0"/>
              <w:jc w:val="center"/>
              <w:rPr>
                <w:rFonts w:ascii="Times New Roman" w:hAnsi="Times New Roman" w:eastAsia="黑体"/>
                <w:sz w:val="28"/>
                <w:szCs w:val="28"/>
              </w:rPr>
            </w:pPr>
            <w:r>
              <w:rPr>
                <w:rFonts w:hint="eastAsia" w:ascii="Times New Roman" w:hAnsi="Times New Roman" w:eastAsia="黑体"/>
                <w:sz w:val="28"/>
                <w:szCs w:val="28"/>
              </w:rPr>
              <w:t>停车设施类别</w:t>
            </w:r>
          </w:p>
        </w:tc>
        <w:tc>
          <w:tcPr>
            <w:tcW w:w="3096" w:type="dxa"/>
            <w:vAlign w:val="center"/>
          </w:tcPr>
          <w:p w14:paraId="51EE78E3">
            <w:pPr>
              <w:pStyle w:val="19"/>
              <w:snapToGrid w:val="0"/>
              <w:ind w:firstLine="0" w:firstLineChars="0"/>
              <w:jc w:val="center"/>
              <w:rPr>
                <w:rFonts w:ascii="Times New Roman" w:hAnsi="Times New Roman" w:eastAsia="黑体"/>
                <w:sz w:val="28"/>
                <w:szCs w:val="28"/>
              </w:rPr>
            </w:pPr>
            <w:r>
              <w:rPr>
                <w:rFonts w:hint="eastAsia" w:ascii="Times New Roman" w:hAnsi="Times New Roman" w:eastAsia="黑体"/>
                <w:sz w:val="28"/>
                <w:szCs w:val="28"/>
              </w:rPr>
              <w:t>收费时段</w:t>
            </w:r>
          </w:p>
        </w:tc>
        <w:tc>
          <w:tcPr>
            <w:tcW w:w="4407" w:type="dxa"/>
            <w:vAlign w:val="center"/>
          </w:tcPr>
          <w:p w14:paraId="1C032945">
            <w:pPr>
              <w:pStyle w:val="19"/>
              <w:snapToGrid w:val="0"/>
              <w:ind w:firstLine="0" w:firstLineChars="0"/>
              <w:jc w:val="center"/>
              <w:rPr>
                <w:rFonts w:ascii="Times New Roman" w:hAnsi="Times New Roman" w:eastAsia="黑体"/>
                <w:sz w:val="28"/>
                <w:szCs w:val="28"/>
              </w:rPr>
            </w:pPr>
            <w:r>
              <w:rPr>
                <w:rFonts w:hint="eastAsia" w:ascii="Times New Roman" w:hAnsi="Times New Roman" w:eastAsia="黑体"/>
                <w:sz w:val="28"/>
                <w:szCs w:val="28"/>
              </w:rPr>
              <w:t>收费标准</w:t>
            </w:r>
          </w:p>
        </w:tc>
      </w:tr>
      <w:tr w14:paraId="1516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6" w:type="dxa"/>
            <w:vAlign w:val="center"/>
          </w:tcPr>
          <w:p w14:paraId="449849B5">
            <w:pPr>
              <w:pStyle w:val="19"/>
              <w:snapToGrid w:val="0"/>
              <w:ind w:firstLine="0" w:firstLineChars="0"/>
              <w:jc w:val="center"/>
              <w:rPr>
                <w:rFonts w:ascii="Times New Roman" w:hAnsi="Times New Roman" w:eastAsia="仿宋_GB2312"/>
                <w:sz w:val="28"/>
                <w:szCs w:val="28"/>
              </w:rPr>
            </w:pPr>
            <w:r>
              <w:rPr>
                <w:rFonts w:hint="eastAsia" w:ascii="Times New Roman" w:hAnsi="Times New Roman" w:eastAsia="仿宋_GB2312"/>
                <w:sz w:val="28"/>
                <w:szCs w:val="28"/>
              </w:rPr>
              <w:t>道路机动车</w:t>
            </w:r>
          </w:p>
          <w:p w14:paraId="6FD4DA3D">
            <w:pPr>
              <w:pStyle w:val="19"/>
              <w:snapToGrid w:val="0"/>
              <w:ind w:firstLine="0" w:firstLineChars="0"/>
              <w:jc w:val="center"/>
              <w:rPr>
                <w:rFonts w:ascii="Times New Roman" w:hAnsi="Times New Roman" w:eastAsia="仿宋_GB2312"/>
                <w:sz w:val="28"/>
                <w:szCs w:val="28"/>
              </w:rPr>
            </w:pPr>
            <w:r>
              <w:rPr>
                <w:rFonts w:hint="eastAsia" w:ascii="Times New Roman" w:hAnsi="Times New Roman" w:eastAsia="仿宋_GB2312"/>
                <w:sz w:val="28"/>
                <w:szCs w:val="28"/>
              </w:rPr>
              <w:t>停车泊位</w:t>
            </w:r>
          </w:p>
        </w:tc>
        <w:tc>
          <w:tcPr>
            <w:tcW w:w="3096" w:type="dxa"/>
            <w:vAlign w:val="center"/>
          </w:tcPr>
          <w:p w14:paraId="7471478F">
            <w:pPr>
              <w:pStyle w:val="19"/>
              <w:snapToGrid w:val="0"/>
              <w:ind w:firstLine="0" w:firstLineChars="0"/>
              <w:jc w:val="center"/>
              <w:rPr>
                <w:rFonts w:ascii="Times New Roman" w:hAnsi="Times New Roman" w:eastAsia="仿宋_GB2312"/>
                <w:sz w:val="28"/>
                <w:szCs w:val="28"/>
              </w:rPr>
            </w:pPr>
            <w:r>
              <w:rPr>
                <w:rFonts w:hint="eastAsia" w:ascii="Times New Roman" w:hAnsi="Times New Roman" w:eastAsia="仿宋_GB2312"/>
                <w:sz w:val="28"/>
                <w:szCs w:val="28"/>
              </w:rPr>
              <w:t>每日</w:t>
            </w:r>
            <w:r>
              <w:rPr>
                <w:rFonts w:ascii="Times New Roman" w:hAnsi="Times New Roman" w:eastAsia="仿宋_GB2312"/>
                <w:sz w:val="28"/>
                <w:szCs w:val="28"/>
              </w:rPr>
              <w:t>8:00</w:t>
            </w:r>
            <w:r>
              <w:rPr>
                <w:rFonts w:hint="eastAsia" w:ascii="Times New Roman" w:hAnsi="Times New Roman" w:eastAsia="仿宋_GB2312"/>
                <w:sz w:val="28"/>
                <w:szCs w:val="28"/>
              </w:rPr>
              <w:t>至</w:t>
            </w:r>
            <w:r>
              <w:rPr>
                <w:rFonts w:ascii="Times New Roman" w:hAnsi="Times New Roman" w:eastAsia="仿宋_GB2312"/>
                <w:sz w:val="28"/>
                <w:szCs w:val="28"/>
              </w:rPr>
              <w:t>21:00</w:t>
            </w:r>
            <w:r>
              <w:rPr>
                <w:rFonts w:hint="eastAsia" w:ascii="Times New Roman" w:hAnsi="Times New Roman" w:eastAsia="仿宋_GB2312"/>
                <w:sz w:val="28"/>
                <w:szCs w:val="28"/>
              </w:rPr>
              <w:t>，其余时段实行免费停放。</w:t>
            </w:r>
          </w:p>
        </w:tc>
        <w:tc>
          <w:tcPr>
            <w:tcW w:w="4407" w:type="dxa"/>
            <w:vAlign w:val="center"/>
          </w:tcPr>
          <w:p w14:paraId="21E3E4C7">
            <w:pPr>
              <w:pStyle w:val="19"/>
              <w:snapToGrid w:val="0"/>
              <w:ind w:firstLine="0" w:firstLineChars="0"/>
              <w:jc w:val="center"/>
              <w:rPr>
                <w:rFonts w:ascii="Times New Roman" w:hAnsi="Times New Roman" w:eastAsia="仿宋_GB2312"/>
                <w:sz w:val="28"/>
                <w:szCs w:val="28"/>
                <w:lang w:eastAsia="ja-JP"/>
              </w:rPr>
            </w:pPr>
            <w:r>
              <w:rPr>
                <w:rFonts w:hint="eastAsia" w:ascii="Times New Roman" w:hAnsi="Times New Roman" w:eastAsia="仿宋_GB2312"/>
                <w:sz w:val="28"/>
                <w:szCs w:val="28"/>
                <w:lang w:eastAsia="ja-JP"/>
              </w:rPr>
              <w:t>停放前</w:t>
            </w:r>
            <w:r>
              <w:rPr>
                <w:rFonts w:ascii="Times New Roman" w:hAnsi="Times New Roman" w:eastAsia="仿宋_GB2312"/>
                <w:sz w:val="28"/>
                <w:szCs w:val="28"/>
                <w:lang w:eastAsia="ja-JP"/>
              </w:rPr>
              <w:t>30</w:t>
            </w:r>
            <w:r>
              <w:rPr>
                <w:rFonts w:hint="eastAsia" w:ascii="Times New Roman" w:hAnsi="Times New Roman" w:eastAsia="仿宋_GB2312"/>
                <w:sz w:val="28"/>
                <w:szCs w:val="28"/>
                <w:lang w:eastAsia="ja-JP"/>
              </w:rPr>
              <w:t>分钟（含</w:t>
            </w:r>
            <w:r>
              <w:rPr>
                <w:rFonts w:ascii="Times New Roman" w:hAnsi="Times New Roman" w:eastAsia="仿宋_GB2312"/>
                <w:sz w:val="28"/>
                <w:szCs w:val="28"/>
                <w:lang w:eastAsia="ja-JP"/>
              </w:rPr>
              <w:t>30</w:t>
            </w:r>
            <w:r>
              <w:rPr>
                <w:rFonts w:hint="eastAsia" w:ascii="Times New Roman" w:hAnsi="Times New Roman" w:eastAsia="仿宋_GB2312"/>
                <w:sz w:val="28"/>
                <w:szCs w:val="28"/>
                <w:lang w:eastAsia="ja-JP"/>
              </w:rPr>
              <w:t>分钟）免费；超出</w:t>
            </w:r>
            <w:r>
              <w:rPr>
                <w:rFonts w:ascii="Times New Roman" w:hAnsi="Times New Roman" w:eastAsia="仿宋_GB2312"/>
                <w:sz w:val="28"/>
                <w:szCs w:val="28"/>
                <w:lang w:eastAsia="ja-JP"/>
              </w:rPr>
              <w:t>30</w:t>
            </w:r>
            <w:r>
              <w:rPr>
                <w:rFonts w:hint="eastAsia" w:ascii="Times New Roman" w:hAnsi="Times New Roman" w:eastAsia="仿宋_GB2312"/>
                <w:sz w:val="28"/>
                <w:szCs w:val="28"/>
                <w:lang w:eastAsia="ja-JP"/>
              </w:rPr>
              <w:t>分钟的，按</w:t>
            </w:r>
            <w:r>
              <w:rPr>
                <w:rFonts w:ascii="Times New Roman" w:hAnsi="Times New Roman" w:eastAsia="仿宋_GB2312"/>
                <w:sz w:val="28"/>
                <w:szCs w:val="28"/>
                <w:lang w:eastAsia="ja-JP"/>
              </w:rPr>
              <w:t>0.5</w:t>
            </w:r>
            <w:r>
              <w:rPr>
                <w:rFonts w:hint="eastAsia" w:ascii="Times New Roman" w:hAnsi="Times New Roman" w:eastAsia="仿宋_GB2312"/>
                <w:sz w:val="28"/>
                <w:szCs w:val="28"/>
                <w:lang w:eastAsia="ja-JP"/>
              </w:rPr>
              <w:t>元</w:t>
            </w:r>
            <w:r>
              <w:rPr>
                <w:rFonts w:ascii="Times New Roman" w:hAnsi="Times New Roman" w:eastAsia="仿宋_GB2312"/>
                <w:sz w:val="28"/>
                <w:szCs w:val="28"/>
                <w:lang w:eastAsia="ja-JP"/>
              </w:rPr>
              <w:t>/</w:t>
            </w:r>
            <w:r>
              <w:rPr>
                <w:rFonts w:hint="eastAsia" w:ascii="Times New Roman" w:hAnsi="Times New Roman" w:eastAsia="仿宋_GB2312"/>
                <w:sz w:val="28"/>
                <w:szCs w:val="28"/>
                <w:lang w:eastAsia="ja-JP"/>
              </w:rPr>
              <w:t>车位</w:t>
            </w:r>
            <w:r>
              <w:rPr>
                <w:rFonts w:hint="eastAsia" w:ascii="Times New Roman" w:hAnsi="Times New Roman" w:eastAsia="MS Mincho" w:cs="MS Mincho"/>
                <w:sz w:val="28"/>
                <w:szCs w:val="28"/>
                <w:lang w:eastAsia="ja-JP"/>
              </w:rPr>
              <w:t>・</w:t>
            </w:r>
            <w:r>
              <w:rPr>
                <w:rFonts w:ascii="Times New Roman" w:hAnsi="Times New Roman" w:eastAsia="仿宋_GB2312"/>
                <w:sz w:val="28"/>
                <w:szCs w:val="28"/>
                <w:lang w:eastAsia="ja-JP"/>
              </w:rPr>
              <w:t>15</w:t>
            </w:r>
            <w:r>
              <w:rPr>
                <w:rFonts w:hint="eastAsia" w:ascii="Times New Roman" w:hAnsi="Times New Roman" w:eastAsia="仿宋_GB2312"/>
                <w:sz w:val="28"/>
                <w:szCs w:val="28"/>
                <w:lang w:eastAsia="ja-JP"/>
              </w:rPr>
              <w:t>分钟计收。</w:t>
            </w:r>
          </w:p>
        </w:tc>
      </w:tr>
      <w:tr w14:paraId="5E5F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7" w:hRule="atLeast"/>
          <w:jc w:val="center"/>
        </w:trPr>
        <w:tc>
          <w:tcPr>
            <w:tcW w:w="2096" w:type="dxa"/>
            <w:vAlign w:val="center"/>
          </w:tcPr>
          <w:p w14:paraId="6644BD3E">
            <w:pPr>
              <w:pStyle w:val="19"/>
              <w:snapToGrid w:val="0"/>
              <w:ind w:firstLine="0" w:firstLineChars="0"/>
              <w:jc w:val="center"/>
              <w:rPr>
                <w:rFonts w:ascii="Times New Roman" w:hAnsi="Times New Roman" w:eastAsia="仿宋_GB2312"/>
                <w:sz w:val="28"/>
                <w:szCs w:val="28"/>
              </w:rPr>
            </w:pPr>
            <w:r>
              <w:rPr>
                <w:rFonts w:hint="eastAsia" w:ascii="Times New Roman" w:hAnsi="Times New Roman" w:eastAsia="仿宋_GB2312"/>
                <w:sz w:val="28"/>
                <w:szCs w:val="28"/>
              </w:rPr>
              <w:t>室外停车场、室内停车场</w:t>
            </w:r>
          </w:p>
        </w:tc>
        <w:tc>
          <w:tcPr>
            <w:tcW w:w="3096" w:type="dxa"/>
            <w:vAlign w:val="center"/>
          </w:tcPr>
          <w:p w14:paraId="6C301659">
            <w:pPr>
              <w:pStyle w:val="19"/>
              <w:snapToGrid w:val="0"/>
              <w:ind w:firstLine="0" w:firstLineChars="0"/>
              <w:jc w:val="center"/>
              <w:rPr>
                <w:rFonts w:ascii="Times New Roman" w:hAnsi="Times New Roman" w:eastAsia="仿宋_GB2312"/>
                <w:sz w:val="28"/>
                <w:szCs w:val="28"/>
              </w:rPr>
            </w:pPr>
            <w:r>
              <w:rPr>
                <w:rFonts w:hint="eastAsia" w:ascii="Times New Roman" w:hAnsi="Times New Roman" w:eastAsia="仿宋_GB2312"/>
                <w:sz w:val="28"/>
                <w:szCs w:val="28"/>
              </w:rPr>
              <w:t>实行</w:t>
            </w:r>
            <w:r>
              <w:rPr>
                <w:rFonts w:ascii="Times New Roman" w:hAnsi="Times New Roman" w:eastAsia="仿宋_GB2312"/>
                <w:sz w:val="28"/>
                <w:szCs w:val="28"/>
              </w:rPr>
              <w:t>24</w:t>
            </w:r>
            <w:r>
              <w:rPr>
                <w:rFonts w:hint="eastAsia" w:ascii="Times New Roman" w:hAnsi="Times New Roman" w:eastAsia="仿宋_GB2312"/>
                <w:sz w:val="28"/>
                <w:szCs w:val="28"/>
              </w:rPr>
              <w:t>小时计费制，鼓励停车场设置夜间（</w:t>
            </w:r>
            <w:r>
              <w:rPr>
                <w:rFonts w:ascii="Times New Roman" w:hAnsi="Times New Roman" w:eastAsia="仿宋_GB2312"/>
                <w:sz w:val="28"/>
                <w:szCs w:val="28"/>
              </w:rPr>
              <w:t>21:00</w:t>
            </w:r>
            <w:r>
              <w:rPr>
                <w:rFonts w:hint="eastAsia" w:ascii="Times New Roman" w:hAnsi="Times New Roman" w:eastAsia="仿宋_GB2312"/>
                <w:sz w:val="28"/>
                <w:szCs w:val="28"/>
              </w:rPr>
              <w:t>－次日</w:t>
            </w:r>
            <w:r>
              <w:rPr>
                <w:rFonts w:ascii="Times New Roman" w:hAnsi="Times New Roman" w:eastAsia="仿宋_GB2312"/>
                <w:sz w:val="28"/>
                <w:szCs w:val="28"/>
              </w:rPr>
              <w:t>8:00</w:t>
            </w:r>
            <w:r>
              <w:rPr>
                <w:rFonts w:hint="eastAsia" w:ascii="Times New Roman" w:hAnsi="Times New Roman" w:eastAsia="仿宋_GB2312"/>
                <w:sz w:val="28"/>
                <w:szCs w:val="28"/>
              </w:rPr>
              <w:t>）免费停放时段。</w:t>
            </w:r>
          </w:p>
        </w:tc>
        <w:tc>
          <w:tcPr>
            <w:tcW w:w="4407" w:type="dxa"/>
            <w:vAlign w:val="center"/>
          </w:tcPr>
          <w:p w14:paraId="1D8EC982">
            <w:pPr>
              <w:pStyle w:val="19"/>
              <w:snapToGrid w:val="0"/>
              <w:ind w:firstLine="0" w:firstLineChars="0"/>
              <w:jc w:val="center"/>
              <w:rPr>
                <w:rFonts w:ascii="Times New Roman" w:hAnsi="Times New Roman" w:eastAsia="仿宋_GB2312"/>
                <w:sz w:val="28"/>
                <w:szCs w:val="28"/>
                <w:lang w:eastAsia="ja-JP"/>
              </w:rPr>
            </w:pPr>
            <w:r>
              <w:rPr>
                <w:rFonts w:hint="eastAsia" w:ascii="Times New Roman" w:hAnsi="Times New Roman" w:eastAsia="仿宋_GB2312"/>
                <w:sz w:val="28"/>
                <w:szCs w:val="28"/>
                <w:lang w:eastAsia="ja-JP"/>
              </w:rPr>
              <w:t>停放前</w:t>
            </w:r>
            <w:r>
              <w:rPr>
                <w:rFonts w:ascii="Times New Roman" w:hAnsi="Times New Roman" w:eastAsia="仿宋_GB2312"/>
                <w:sz w:val="28"/>
                <w:szCs w:val="28"/>
                <w:lang w:eastAsia="ja-JP"/>
              </w:rPr>
              <w:t>30</w:t>
            </w:r>
            <w:r>
              <w:rPr>
                <w:rFonts w:hint="eastAsia" w:ascii="Times New Roman" w:hAnsi="Times New Roman" w:eastAsia="仿宋_GB2312"/>
                <w:sz w:val="28"/>
                <w:szCs w:val="28"/>
                <w:lang w:eastAsia="ja-JP"/>
              </w:rPr>
              <w:t>分钟（含</w:t>
            </w:r>
            <w:r>
              <w:rPr>
                <w:rFonts w:ascii="Times New Roman" w:hAnsi="Times New Roman" w:eastAsia="仿宋_GB2312"/>
                <w:sz w:val="28"/>
                <w:szCs w:val="28"/>
                <w:lang w:eastAsia="ja-JP"/>
              </w:rPr>
              <w:t>30</w:t>
            </w:r>
            <w:r>
              <w:rPr>
                <w:rFonts w:hint="eastAsia" w:ascii="Times New Roman" w:hAnsi="Times New Roman" w:eastAsia="仿宋_GB2312"/>
                <w:sz w:val="28"/>
                <w:szCs w:val="28"/>
                <w:lang w:eastAsia="ja-JP"/>
              </w:rPr>
              <w:t>分钟）免费；超出</w:t>
            </w:r>
            <w:r>
              <w:rPr>
                <w:rFonts w:ascii="Times New Roman" w:hAnsi="Times New Roman" w:eastAsia="仿宋_GB2312"/>
                <w:sz w:val="28"/>
                <w:szCs w:val="28"/>
                <w:lang w:eastAsia="ja-JP"/>
              </w:rPr>
              <w:t>30</w:t>
            </w:r>
            <w:r>
              <w:rPr>
                <w:rFonts w:hint="eastAsia" w:ascii="Times New Roman" w:hAnsi="Times New Roman" w:eastAsia="仿宋_GB2312"/>
                <w:sz w:val="28"/>
                <w:szCs w:val="28"/>
                <w:lang w:eastAsia="ja-JP"/>
              </w:rPr>
              <w:t>分钟的，按</w:t>
            </w:r>
            <w:r>
              <w:rPr>
                <w:rFonts w:ascii="Times New Roman" w:hAnsi="Times New Roman" w:eastAsia="仿宋_GB2312"/>
                <w:sz w:val="28"/>
                <w:szCs w:val="28"/>
                <w:lang w:eastAsia="ja-JP"/>
              </w:rPr>
              <w:t>0.5</w:t>
            </w:r>
            <w:r>
              <w:rPr>
                <w:rFonts w:hint="eastAsia" w:ascii="Times New Roman" w:hAnsi="Times New Roman" w:eastAsia="仿宋_GB2312"/>
                <w:sz w:val="28"/>
                <w:szCs w:val="28"/>
                <w:lang w:eastAsia="ja-JP"/>
              </w:rPr>
              <w:t>元</w:t>
            </w:r>
            <w:r>
              <w:rPr>
                <w:rFonts w:ascii="Times New Roman" w:hAnsi="Times New Roman" w:eastAsia="仿宋_GB2312"/>
                <w:sz w:val="28"/>
                <w:szCs w:val="28"/>
                <w:lang w:eastAsia="ja-JP"/>
              </w:rPr>
              <w:t>/</w:t>
            </w:r>
            <w:r>
              <w:rPr>
                <w:rFonts w:hint="eastAsia" w:ascii="Times New Roman" w:hAnsi="Times New Roman" w:eastAsia="仿宋_GB2312"/>
                <w:sz w:val="28"/>
                <w:szCs w:val="28"/>
                <w:lang w:eastAsia="ja-JP"/>
              </w:rPr>
              <w:t>车位</w:t>
            </w:r>
            <w:r>
              <w:rPr>
                <w:rFonts w:hint="eastAsia" w:ascii="Times New Roman" w:hAnsi="Times New Roman" w:eastAsia="MS Mincho" w:cs="MS Mincho"/>
                <w:sz w:val="28"/>
                <w:szCs w:val="28"/>
                <w:lang w:eastAsia="ja-JP"/>
              </w:rPr>
              <w:t>・</w:t>
            </w:r>
            <w:r>
              <w:rPr>
                <w:rFonts w:ascii="Times New Roman" w:hAnsi="Times New Roman" w:eastAsia="仿宋_GB2312"/>
                <w:sz w:val="28"/>
                <w:szCs w:val="28"/>
                <w:lang w:eastAsia="ja-JP"/>
              </w:rPr>
              <w:t>15</w:t>
            </w:r>
            <w:r>
              <w:rPr>
                <w:rFonts w:hint="eastAsia" w:ascii="Times New Roman" w:hAnsi="Times New Roman" w:eastAsia="仿宋_GB2312"/>
                <w:sz w:val="28"/>
                <w:szCs w:val="28"/>
                <w:lang w:eastAsia="ja-JP"/>
              </w:rPr>
              <w:t>分钟计收；连续停放</w:t>
            </w:r>
            <w:r>
              <w:rPr>
                <w:rFonts w:ascii="Times New Roman" w:hAnsi="Times New Roman" w:eastAsia="仿宋_GB2312"/>
                <w:sz w:val="28"/>
                <w:szCs w:val="28"/>
                <w:lang w:eastAsia="ja-JP"/>
              </w:rPr>
              <w:t>24</w:t>
            </w:r>
            <w:r>
              <w:rPr>
                <w:rFonts w:hint="eastAsia" w:ascii="Times New Roman" w:hAnsi="Times New Roman" w:eastAsia="仿宋_GB2312"/>
                <w:sz w:val="28"/>
                <w:szCs w:val="28"/>
                <w:lang w:eastAsia="ja-JP"/>
              </w:rPr>
              <w:t>小时单车位最高收费不超过</w:t>
            </w:r>
            <w:r>
              <w:rPr>
                <w:rFonts w:ascii="Times New Roman" w:hAnsi="Times New Roman" w:eastAsia="仿宋_GB2312"/>
                <w:sz w:val="28"/>
                <w:szCs w:val="28"/>
                <w:lang w:eastAsia="ja-JP"/>
              </w:rPr>
              <w:t>20</w:t>
            </w:r>
            <w:r>
              <w:rPr>
                <w:rFonts w:hint="eastAsia" w:ascii="Times New Roman" w:hAnsi="Times New Roman" w:eastAsia="仿宋_GB2312"/>
                <w:sz w:val="28"/>
                <w:szCs w:val="28"/>
                <w:lang w:eastAsia="ja-JP"/>
              </w:rPr>
              <w:t>元。</w:t>
            </w:r>
          </w:p>
        </w:tc>
      </w:tr>
      <w:tr w14:paraId="35AB7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2096" w:type="dxa"/>
            <w:vAlign w:val="center"/>
          </w:tcPr>
          <w:p w14:paraId="0B431200">
            <w:pPr>
              <w:pStyle w:val="19"/>
              <w:snapToGrid w:val="0"/>
              <w:ind w:firstLine="0" w:firstLineChars="0"/>
              <w:jc w:val="center"/>
              <w:rPr>
                <w:rFonts w:ascii="Times New Roman" w:hAnsi="Times New Roman" w:eastAsia="仿宋_GB2312"/>
                <w:sz w:val="28"/>
                <w:szCs w:val="28"/>
              </w:rPr>
            </w:pPr>
            <w:r>
              <w:rPr>
                <w:rFonts w:hint="eastAsia" w:ascii="Times New Roman" w:hAnsi="Times New Roman" w:eastAsia="仿宋_GB2312"/>
                <w:sz w:val="28"/>
                <w:szCs w:val="28"/>
              </w:rPr>
              <w:t>旅游景区（点）配套停车场</w:t>
            </w:r>
          </w:p>
        </w:tc>
        <w:tc>
          <w:tcPr>
            <w:tcW w:w="3096" w:type="dxa"/>
            <w:vAlign w:val="center"/>
          </w:tcPr>
          <w:p w14:paraId="7C94A83F">
            <w:pPr>
              <w:pStyle w:val="19"/>
              <w:snapToGrid w:val="0"/>
              <w:ind w:firstLine="0" w:firstLineChars="0"/>
              <w:jc w:val="center"/>
              <w:rPr>
                <w:rFonts w:ascii="Times New Roman" w:hAnsi="Times New Roman" w:eastAsia="仿宋_GB2312"/>
                <w:sz w:val="28"/>
                <w:szCs w:val="28"/>
              </w:rPr>
            </w:pPr>
            <w:r>
              <w:rPr>
                <w:rFonts w:hint="eastAsia" w:ascii="Times New Roman" w:hAnsi="Times New Roman" w:eastAsia="仿宋_GB2312"/>
                <w:sz w:val="28"/>
                <w:szCs w:val="28"/>
              </w:rPr>
              <w:t>实行</w:t>
            </w:r>
            <w:r>
              <w:rPr>
                <w:rFonts w:ascii="Times New Roman" w:hAnsi="Times New Roman" w:eastAsia="仿宋_GB2312"/>
                <w:sz w:val="28"/>
                <w:szCs w:val="28"/>
              </w:rPr>
              <w:t>24</w:t>
            </w:r>
            <w:r>
              <w:rPr>
                <w:rFonts w:hint="eastAsia" w:ascii="Times New Roman" w:hAnsi="Times New Roman" w:eastAsia="仿宋_GB2312"/>
                <w:sz w:val="28"/>
                <w:szCs w:val="28"/>
              </w:rPr>
              <w:t>小时计费制。</w:t>
            </w:r>
          </w:p>
        </w:tc>
        <w:tc>
          <w:tcPr>
            <w:tcW w:w="4407" w:type="dxa"/>
            <w:vAlign w:val="center"/>
          </w:tcPr>
          <w:p w14:paraId="4AEE1CC4">
            <w:pPr>
              <w:pStyle w:val="7"/>
              <w:snapToGrid w:val="0"/>
              <w:spacing w:beforeAutospacing="0" w:afterAutospacing="0"/>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7</w:t>
            </w:r>
            <w:r>
              <w:rPr>
                <w:rFonts w:hint="eastAsia" w:ascii="Times New Roman" w:hAnsi="Times New Roman" w:eastAsia="仿宋_GB2312" w:cs="Times New Roman"/>
                <w:sz w:val="28"/>
                <w:szCs w:val="28"/>
              </w:rPr>
              <w:t>座以下客车</w:t>
            </w:r>
            <w:r>
              <w:rPr>
                <w:rFonts w:ascii="Times New Roman" w:hAnsi="Times New Roman" w:eastAsia="仿宋_GB2312" w:cs="Times New Roman"/>
                <w:sz w:val="28"/>
                <w:szCs w:val="28"/>
              </w:rPr>
              <w:t>5</w:t>
            </w:r>
            <w:r>
              <w:rPr>
                <w:rFonts w:hint="eastAsia" w:ascii="Times New Roman" w:hAnsi="Times New Roman" w:eastAsia="仿宋_GB2312" w:cs="Times New Roman"/>
                <w:sz w:val="28"/>
                <w:szCs w:val="28"/>
              </w:rPr>
              <w:t>元</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次，</w:t>
            </w:r>
            <w:r>
              <w:rPr>
                <w:rFonts w:ascii="Times New Roman" w:hAnsi="Times New Roman" w:eastAsia="仿宋_GB2312" w:cs="Times New Roman"/>
                <w:sz w:val="28"/>
                <w:szCs w:val="28"/>
              </w:rPr>
              <w:t>7</w:t>
            </w:r>
            <w:r>
              <w:rPr>
                <w:rFonts w:hint="eastAsia" w:ascii="Times New Roman" w:hAnsi="Times New Roman" w:eastAsia="仿宋_GB2312" w:cs="Times New Roman"/>
                <w:sz w:val="28"/>
                <w:szCs w:val="28"/>
              </w:rPr>
              <w:t>座以上</w:t>
            </w:r>
            <w:r>
              <w:rPr>
                <w:rFonts w:ascii="Times New Roman" w:hAnsi="Times New Roman" w:eastAsia="仿宋_GB2312" w:cs="Times New Roman"/>
                <w:sz w:val="28"/>
                <w:szCs w:val="28"/>
              </w:rPr>
              <w:t>10</w:t>
            </w:r>
            <w:r>
              <w:rPr>
                <w:rFonts w:hint="eastAsia" w:ascii="Times New Roman" w:hAnsi="Times New Roman" w:eastAsia="仿宋_GB2312" w:cs="Times New Roman"/>
                <w:sz w:val="28"/>
                <w:szCs w:val="28"/>
              </w:rPr>
              <w:t>元</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次</w:t>
            </w:r>
            <w:r>
              <w:rPr>
                <w:rFonts w:hint="eastAsia" w:ascii="Times New Roman" w:hAnsi="Times New Roman" w:eastAsia="仿宋_GB2312" w:cs="Times New Roman"/>
                <w:sz w:val="28"/>
                <w:szCs w:val="28"/>
                <w:lang w:eastAsia="zh-CN"/>
              </w:rPr>
              <w:t>；</w:t>
            </w:r>
            <w:r>
              <w:rPr>
                <w:rFonts w:ascii="Times New Roman" w:hAnsi="Times New Roman" w:eastAsia="仿宋_GB2312" w:cs="Times New Roman"/>
                <w:sz w:val="28"/>
                <w:szCs w:val="28"/>
              </w:rPr>
              <w:t>24</w:t>
            </w:r>
            <w:r>
              <w:rPr>
                <w:rFonts w:hint="eastAsia" w:ascii="Times New Roman" w:hAnsi="Times New Roman" w:eastAsia="仿宋_GB2312" w:cs="Times New Roman"/>
                <w:sz w:val="28"/>
                <w:szCs w:val="28"/>
              </w:rPr>
              <w:t>小时为一个计费周期。</w:t>
            </w:r>
          </w:p>
        </w:tc>
      </w:tr>
    </w:tbl>
    <w:p w14:paraId="5D4C5991">
      <w:pPr>
        <w:snapToGrid w:val="0"/>
        <w:spacing w:line="360" w:lineRule="auto"/>
        <w:jc w:val="center"/>
        <w:rPr>
          <w:rFonts w:ascii="Times New Roman" w:hAnsi="Times New Roman" w:eastAsia="方正小标宋简体"/>
          <w:sz w:val="32"/>
          <w:szCs w:val="32"/>
        </w:rPr>
      </w:pPr>
    </w:p>
    <w:p w14:paraId="47E63D9A">
      <w:pPr>
        <w:snapToGrid w:val="0"/>
        <w:spacing w:line="300" w:lineRule="auto"/>
        <w:rPr>
          <w:rFonts w:ascii="Times New Roman" w:hAnsi="Times New Roman" w:eastAsia="BatangChe"/>
        </w:rPr>
      </w:pPr>
    </w:p>
    <w:sectPr>
      <w:pgSz w:w="11906" w:h="16838"/>
      <w:pgMar w:top="1985" w:right="1474" w:bottom="1928" w:left="1588" w:header="851" w:footer="1588"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Che">
    <w:altName w:val="Batang"/>
    <w:panose1 w:val="02030609000101010101"/>
    <w:charset w:val="81"/>
    <w:family w:val="modern"/>
    <w:pitch w:val="default"/>
    <w:sig w:usb0="00000000" w:usb1="00000000" w:usb2="00000030" w:usb3="00000000" w:csb0="0008009F" w:csb1="00000000"/>
  </w:font>
  <w:font w:name="Batang">
    <w:panose1 w:val="02030600000101010101"/>
    <w:charset w:val="81"/>
    <w:family w:val="auto"/>
    <w:pitch w:val="default"/>
    <w:sig w:usb0="B00002AF" w:usb1="69D77CFB" w:usb2="00000030" w:usb3="00000000" w:csb0="4008009F" w:csb1="DFD70000"/>
  </w:font>
  <w:font w:name="方正小标宋简体">
    <w:panose1 w:val="02000000000000000000"/>
    <w:charset w:val="86"/>
    <w:family w:val="auto"/>
    <w:pitch w:val="default"/>
    <w:sig w:usb0="A00002BF" w:usb1="184F6CFA" w:usb2="00000012" w:usb3="00000000" w:csb0="00040001" w:csb1="00000000"/>
  </w:font>
  <w:font w:name="MS Mincho">
    <w:panose1 w:val="02020609040205080304"/>
    <w:charset w:val="80"/>
    <w:family w:val="modern"/>
    <w:pitch w:val="default"/>
    <w:sig w:usb0="A00002BF" w:usb1="68C7FCFB" w:usb2="00000010" w:usb3="00000000" w:csb0="4002009F" w:csb1="DFD70000"/>
  </w:font>
  <w:font w:name="Nimbus Roman">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19E94">
    <w:pPr>
      <w:pStyle w:val="5"/>
      <w:framePr w:wrap="around" w:vAnchor="text" w:hAnchor="margin" w:xAlign="outside" w:y="1"/>
      <w:rPr>
        <w:rStyle w:val="12"/>
        <w:rFonts w:ascii="楷体_GB2312" w:hAnsi="宋体" w:eastAsia="楷体_GB2312"/>
        <w:color w:val="FFFFFF"/>
        <w:sz w:val="28"/>
        <w:szCs w:val="28"/>
      </w:rPr>
    </w:pPr>
    <w:r>
      <w:rPr>
        <w:rStyle w:val="12"/>
        <w:rFonts w:ascii="楷体_GB2312" w:hAnsi="宋体" w:eastAsia="楷体_GB2312"/>
        <w:color w:val="FFFFFF"/>
        <w:sz w:val="28"/>
        <w:szCs w:val="28"/>
      </w:rPr>
      <w:t>—</w:t>
    </w:r>
    <w:r>
      <w:rPr>
        <w:rStyle w:val="12"/>
        <w:rFonts w:ascii="楷体_GB2312" w:hAnsi="宋体" w:eastAsia="楷体_GB2312"/>
        <w:sz w:val="28"/>
        <w:szCs w:val="28"/>
      </w:rPr>
      <w:t>—</w:t>
    </w:r>
    <w:r>
      <w:rPr>
        <w:rStyle w:val="12"/>
        <w:rFonts w:ascii="宋体" w:hAnsi="宋体"/>
        <w:sz w:val="28"/>
        <w:szCs w:val="28"/>
      </w:rPr>
      <w:fldChar w:fldCharType="begin"/>
    </w:r>
    <w:r>
      <w:rPr>
        <w:rStyle w:val="12"/>
        <w:rFonts w:ascii="宋体" w:hAnsi="宋体"/>
        <w:sz w:val="28"/>
        <w:szCs w:val="28"/>
      </w:rPr>
      <w:instrText xml:space="preserve">PAGE  </w:instrText>
    </w:r>
    <w:r>
      <w:rPr>
        <w:rStyle w:val="12"/>
        <w:rFonts w:ascii="宋体" w:hAnsi="宋体"/>
        <w:sz w:val="28"/>
        <w:szCs w:val="28"/>
      </w:rPr>
      <w:fldChar w:fldCharType="separate"/>
    </w:r>
    <w:r>
      <w:rPr>
        <w:rStyle w:val="12"/>
        <w:rFonts w:ascii="宋体" w:hAnsi="宋体"/>
        <w:sz w:val="28"/>
        <w:szCs w:val="28"/>
      </w:rPr>
      <w:t>2</w:t>
    </w:r>
    <w:r>
      <w:rPr>
        <w:rStyle w:val="12"/>
        <w:rFonts w:ascii="宋体" w:hAnsi="宋体"/>
        <w:sz w:val="28"/>
        <w:szCs w:val="28"/>
      </w:rPr>
      <w:fldChar w:fldCharType="end"/>
    </w:r>
    <w:r>
      <w:rPr>
        <w:rStyle w:val="12"/>
        <w:rFonts w:ascii="楷体_GB2312" w:hAnsi="宋体" w:eastAsia="楷体_GB2312"/>
        <w:sz w:val="28"/>
        <w:szCs w:val="28"/>
      </w:rPr>
      <w:t>—</w:t>
    </w:r>
    <w:r>
      <w:rPr>
        <w:rStyle w:val="12"/>
        <w:rFonts w:ascii="楷体_GB2312" w:hAnsi="宋体" w:eastAsia="楷体_GB2312"/>
        <w:color w:val="FFFFFF"/>
        <w:sz w:val="28"/>
        <w:szCs w:val="28"/>
      </w:rPr>
      <w:t>—</w:t>
    </w:r>
  </w:p>
  <w:p w14:paraId="4C178A21">
    <w:pPr>
      <w:pStyle w:val="5"/>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CA7B9">
    <w:pPr>
      <w:pStyle w:val="5"/>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end"/>
    </w:r>
  </w:p>
  <w:p w14:paraId="0DE9433B">
    <w:pPr>
      <w:pStyle w:val="5"/>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802158"/>
    <w:rsid w:val="000841B5"/>
    <w:rsid w:val="000B718D"/>
    <w:rsid w:val="000D5800"/>
    <w:rsid w:val="002E028C"/>
    <w:rsid w:val="00386741"/>
    <w:rsid w:val="00441292"/>
    <w:rsid w:val="004F2016"/>
    <w:rsid w:val="0054787F"/>
    <w:rsid w:val="006B7360"/>
    <w:rsid w:val="007A7D04"/>
    <w:rsid w:val="008103EE"/>
    <w:rsid w:val="00860894"/>
    <w:rsid w:val="008C4AB2"/>
    <w:rsid w:val="008F4F74"/>
    <w:rsid w:val="009932AA"/>
    <w:rsid w:val="00BF378C"/>
    <w:rsid w:val="00C26A7A"/>
    <w:rsid w:val="00DA43D5"/>
    <w:rsid w:val="015B3238"/>
    <w:rsid w:val="034041DD"/>
    <w:rsid w:val="04AE2C39"/>
    <w:rsid w:val="0AC94F49"/>
    <w:rsid w:val="12A06CFD"/>
    <w:rsid w:val="13802158"/>
    <w:rsid w:val="13F66951"/>
    <w:rsid w:val="14E1184E"/>
    <w:rsid w:val="1B3E646C"/>
    <w:rsid w:val="1F0A18A9"/>
    <w:rsid w:val="239D2DE4"/>
    <w:rsid w:val="27D8180D"/>
    <w:rsid w:val="29BA649E"/>
    <w:rsid w:val="2BF2109D"/>
    <w:rsid w:val="2D195DF5"/>
    <w:rsid w:val="2EB31542"/>
    <w:rsid w:val="2F3370DD"/>
    <w:rsid w:val="2F9E416C"/>
    <w:rsid w:val="333472C1"/>
    <w:rsid w:val="387E2D8D"/>
    <w:rsid w:val="3A7937BB"/>
    <w:rsid w:val="407A652F"/>
    <w:rsid w:val="413761CE"/>
    <w:rsid w:val="4AB04516"/>
    <w:rsid w:val="4D243AAB"/>
    <w:rsid w:val="52220C0C"/>
    <w:rsid w:val="524349D3"/>
    <w:rsid w:val="54D57150"/>
    <w:rsid w:val="568B1901"/>
    <w:rsid w:val="5740600F"/>
    <w:rsid w:val="58AB1D89"/>
    <w:rsid w:val="5C642116"/>
    <w:rsid w:val="5D652F90"/>
    <w:rsid w:val="679A2E90"/>
    <w:rsid w:val="69076303"/>
    <w:rsid w:val="695A448A"/>
    <w:rsid w:val="6F3B4F58"/>
    <w:rsid w:val="70054D19"/>
    <w:rsid w:val="718524BB"/>
    <w:rsid w:val="727A2B5F"/>
    <w:rsid w:val="75142548"/>
    <w:rsid w:val="75403891"/>
    <w:rsid w:val="7AC2652D"/>
    <w:rsid w:val="7CFD1A9F"/>
    <w:rsid w:val="7DE77B27"/>
    <w:rsid w:val="7E475C8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Char"/>
    <w:basedOn w:val="1"/>
    <w:qFormat/>
    <w:uiPriority w:val="99"/>
    <w:rPr>
      <w:rFonts w:ascii="Times New Roman" w:hAnsi="Times New Roman"/>
      <w:szCs w:val="20"/>
    </w:rPr>
  </w:style>
  <w:style w:type="paragraph" w:styleId="3">
    <w:name w:val="Normal Indent"/>
    <w:basedOn w:val="1"/>
    <w:qFormat/>
    <w:uiPriority w:val="99"/>
    <w:pPr>
      <w:suppressAutoHyphens/>
      <w:spacing w:line="588" w:lineRule="exact"/>
      <w:ind w:firstLine="200" w:firstLineChars="200"/>
      <w:textAlignment w:val="center"/>
    </w:pPr>
    <w:rPr>
      <w:rFonts w:ascii="Times New Roman" w:hAnsi="Times New Roman" w:eastAsia="楷体_GB2312"/>
      <w:sz w:val="30"/>
    </w:rPr>
  </w:style>
  <w:style w:type="paragraph" w:styleId="4">
    <w:name w:val="Body Text"/>
    <w:basedOn w:val="1"/>
    <w:next w:val="1"/>
    <w:link w:val="13"/>
    <w:qFormat/>
    <w:uiPriority w:val="99"/>
    <w:pPr>
      <w:spacing w:after="120"/>
    </w:pPr>
  </w:style>
  <w:style w:type="paragraph" w:styleId="5">
    <w:name w:val="footer"/>
    <w:basedOn w:val="1"/>
    <w:link w:val="18"/>
    <w:qFormat/>
    <w:uiPriority w:val="99"/>
    <w:pPr>
      <w:tabs>
        <w:tab w:val="center" w:pos="4153"/>
        <w:tab w:val="right" w:pos="8306"/>
      </w:tabs>
      <w:snapToGrid w:val="0"/>
      <w:jc w:val="left"/>
    </w:pPr>
    <w:rPr>
      <w:sz w:val="18"/>
    </w:rPr>
  </w:style>
  <w:style w:type="paragraph" w:styleId="6">
    <w:name w:val="header"/>
    <w:basedOn w:val="1"/>
    <w:link w:val="1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99"/>
    <w:pPr>
      <w:widowControl/>
      <w:spacing w:beforeAutospacing="1" w:afterAutospacing="1"/>
      <w:jc w:val="left"/>
    </w:pPr>
    <w:rPr>
      <w:rFonts w:ascii="宋体" w:hAnsi="宋体" w:cs="宋体"/>
      <w:kern w:val="0"/>
      <w:sz w:val="24"/>
    </w:rPr>
  </w:style>
  <w:style w:type="table" w:styleId="9">
    <w:name w:val="Table Grid"/>
    <w:basedOn w:val="8"/>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99"/>
    <w:rPr>
      <w:rFonts w:cs="Times New Roman"/>
      <w:b/>
    </w:rPr>
  </w:style>
  <w:style w:type="character" w:styleId="12">
    <w:name w:val="page number"/>
    <w:basedOn w:val="10"/>
    <w:uiPriority w:val="99"/>
    <w:rPr>
      <w:rFonts w:cs="Times New Roman"/>
    </w:rPr>
  </w:style>
  <w:style w:type="character" w:customStyle="1" w:styleId="13">
    <w:name w:val="Body Text Char"/>
    <w:basedOn w:val="10"/>
    <w:link w:val="4"/>
    <w:semiHidden/>
    <w:qFormat/>
    <w:locked/>
    <w:uiPriority w:val="99"/>
    <w:rPr>
      <w:rFonts w:ascii="Calibri" w:hAnsi="Calibri" w:cs="Times New Roman"/>
      <w:sz w:val="24"/>
      <w:szCs w:val="24"/>
    </w:rPr>
  </w:style>
  <w:style w:type="character" w:customStyle="1" w:styleId="14">
    <w:name w:val="Footer Char"/>
    <w:basedOn w:val="10"/>
    <w:link w:val="5"/>
    <w:semiHidden/>
    <w:qFormat/>
    <w:locked/>
    <w:uiPriority w:val="99"/>
    <w:rPr>
      <w:rFonts w:ascii="Calibri" w:hAnsi="Calibri" w:cs="Times New Roman"/>
      <w:sz w:val="18"/>
      <w:szCs w:val="18"/>
    </w:rPr>
  </w:style>
  <w:style w:type="character" w:customStyle="1" w:styleId="15">
    <w:name w:val="Header Char"/>
    <w:basedOn w:val="10"/>
    <w:link w:val="6"/>
    <w:semiHidden/>
    <w:qFormat/>
    <w:locked/>
    <w:uiPriority w:val="99"/>
    <w:rPr>
      <w:rFonts w:ascii="Calibri" w:hAnsi="Calibri" w:cs="Times New Roman"/>
      <w:sz w:val="18"/>
      <w:szCs w:val="18"/>
    </w:rPr>
  </w:style>
  <w:style w:type="character" w:customStyle="1" w:styleId="16">
    <w:name w:val="font31"/>
    <w:basedOn w:val="10"/>
    <w:qFormat/>
    <w:uiPriority w:val="99"/>
    <w:rPr>
      <w:rFonts w:ascii="黑体" w:hAnsi="宋体" w:eastAsia="黑体" w:cs="黑体"/>
      <w:color w:val="000000"/>
      <w:sz w:val="24"/>
      <w:szCs w:val="24"/>
      <w:u w:val="none"/>
    </w:rPr>
  </w:style>
  <w:style w:type="character" w:customStyle="1" w:styleId="17">
    <w:name w:val="font41"/>
    <w:basedOn w:val="10"/>
    <w:qFormat/>
    <w:uiPriority w:val="99"/>
    <w:rPr>
      <w:rFonts w:ascii="Times New Roman" w:hAnsi="Times New Roman" w:cs="Times New Roman"/>
      <w:color w:val="000000"/>
      <w:sz w:val="24"/>
      <w:szCs w:val="24"/>
      <w:u w:val="none"/>
    </w:rPr>
  </w:style>
  <w:style w:type="character" w:customStyle="1" w:styleId="18">
    <w:name w:val="Footer Char1"/>
    <w:basedOn w:val="10"/>
    <w:link w:val="5"/>
    <w:qFormat/>
    <w:locked/>
    <w:uiPriority w:val="99"/>
    <w:rPr>
      <w:rFonts w:ascii="Calibri" w:hAnsi="Calibri" w:eastAsia="宋体" w:cs="Times New Roman"/>
      <w:kern w:val="2"/>
      <w:sz w:val="24"/>
      <w:szCs w:val="24"/>
      <w:lang w:val="en-US" w:eastAsia="zh-CN" w:bidi="ar-SA"/>
    </w:rPr>
  </w:style>
  <w:style w:type="paragraph" w:customStyle="1" w:styleId="19">
    <w:name w:val="Normal Indent1"/>
    <w:basedOn w:val="1"/>
    <w:qFormat/>
    <w:uiPriority w:val="99"/>
    <w:pPr>
      <w:ind w:firstLine="200" w:firstLineChars="200"/>
    </w:pPr>
    <w:rPr>
      <w:rFonts w:ascii="Times New Roman" w:hAnsi="Times New Roman" w:eastAsia="楷体_GB2312"/>
    </w:rPr>
  </w:style>
  <w:style w:type="paragraph" w:customStyle="1" w:styleId="20">
    <w:name w:val="Body Text First Indent 21"/>
    <w:basedOn w:val="1"/>
    <w:qFormat/>
    <w:uiPriority w:val="99"/>
    <w:pPr>
      <w:ind w:left="200" w:leftChars="200" w:firstLine="420"/>
    </w:pPr>
    <w:rPr>
      <w:rFonts w:ascii="仿宋_GB2312" w:hAnsi="BatangChe" w:eastAsia="仿宋_GB2312" w:cs="仿宋_GB231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Pages>7</Pages>
  <Words>3099</Words>
  <Characters>3230</Characters>
  <Lines>0</Lines>
  <Paragraphs>0</Paragraphs>
  <TotalTime>27</TotalTime>
  <ScaleCrop>false</ScaleCrop>
  <LinksUpToDate>false</LinksUpToDate>
  <CharactersWithSpaces>3325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2026-08-17T02:21:00Z</dcterms:created>
  <dc:creator> 婷</dc:creator>
  <cp:lastModifiedBy> 婷</cp:lastModifiedBy>
  <cp:lastPrinted>2026-09-22T03:56:00Z</cp:lastPrinted>
  <dcterms:modified xsi:type="dcterms:W3CDTF">2026-10-09T08:38:30Z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CBE868C4A0AF4024B9FBA7F8FFFCAB75_13</vt:lpwstr>
  </property>
  <property fmtid="{D5CDD505-2E9C-101B-9397-08002B2CF9AE}" pid="4" name="KSOTemplateDocerSaveRecord">
    <vt:lpwstr>eyJoZGlkIjoiMDE2MTBmNTM3MWFhNjhhNWM5YTM3OTg3OWYzNzdjNTYiLCJ1c2VySWQiOiIyNTU2ODY1ODkifQ==</vt:lpwstr>
  </property>
</Properties>
</file>